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158E1" w:rsidR="008A7990" w:rsidP="008A7990" w:rsidRDefault="008A7990" w14:paraId="5917FD07" w14:textId="77777777">
      <w:pPr>
        <w:rPr>
          <w:rFonts w:ascii="Calibri" w:hAnsi="Calibri" w:eastAsia="Calibri" w:cs="Calibri"/>
          <w:lang w:val="en-US"/>
        </w:rPr>
      </w:pPr>
      <w:r w:rsidRPr="000158E1">
        <w:rPr>
          <w:rFonts w:ascii="Calibri" w:hAnsi="Calibri" w:cs="Calibri"/>
          <w:noProof/>
          <w:lang w:val="en-US"/>
        </w:rPr>
        <w:drawing>
          <wp:inline distT="0" distB="0" distL="0" distR="0" wp14:anchorId="3B073414" wp14:editId="1E65A847">
            <wp:extent cx="2095500" cy="762000"/>
            <wp:effectExtent l="0" t="0" r="0" b="0"/>
            <wp:docPr id="1989382126" name="Grafik 1989382126"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82126" name="Grafik 1989382126" descr="Ein Bild, das Schwarz, Dunkelhei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2095500" cy="762000"/>
                    </a:xfrm>
                    <a:prstGeom prst="rect">
                      <a:avLst/>
                    </a:prstGeom>
                  </pic:spPr>
                </pic:pic>
              </a:graphicData>
            </a:graphic>
          </wp:inline>
        </w:drawing>
      </w:r>
    </w:p>
    <w:p w:rsidRPr="000158E1" w:rsidR="008A7990" w:rsidP="008A7990" w:rsidRDefault="00E80964" w14:paraId="0852CCFD" w14:textId="1A2F27B3">
      <w:pPr>
        <w:spacing w:after="0" w:line="259" w:lineRule="auto"/>
        <w:rPr>
          <w:rFonts w:ascii="Calibri" w:hAnsi="Calibri" w:cs="Calibri"/>
          <w:lang w:val="en-US"/>
        </w:rPr>
      </w:pPr>
      <w:r>
        <w:rPr>
          <w:rFonts w:ascii="Calibri" w:hAnsi="Calibri" w:cs="Calibri"/>
          <w:b/>
          <w:sz w:val="41"/>
          <w:lang w:val="en-US"/>
        </w:rPr>
        <w:t>Theory Chapter</w:t>
      </w:r>
    </w:p>
    <w:p w:rsidRPr="000158E1" w:rsidR="008A7990" w:rsidP="008A7990" w:rsidRDefault="008A7990" w14:paraId="6B8EB869" w14:textId="3561E361">
      <w:pPr>
        <w:spacing w:after="1926" w:line="259" w:lineRule="auto"/>
        <w:rPr>
          <w:rFonts w:ascii="Calibri" w:hAnsi="Calibri" w:cs="Calibri"/>
          <w:sz w:val="29"/>
          <w:lang w:val="en-US"/>
        </w:rPr>
      </w:pPr>
    </w:p>
    <w:p w:rsidRPr="000158E1" w:rsidR="008A7990" w:rsidP="008A7990" w:rsidRDefault="008A7990" w14:paraId="5D457E51" w14:textId="77777777">
      <w:pPr>
        <w:spacing w:after="0" w:line="259" w:lineRule="auto"/>
        <w:ind w:right="3372"/>
        <w:jc w:val="right"/>
        <w:rPr>
          <w:rFonts w:ascii="Calibri" w:hAnsi="Calibri" w:cs="Calibri"/>
          <w:lang w:val="en-US"/>
        </w:rPr>
      </w:pPr>
      <w:proofErr w:type="spellStart"/>
      <w:r w:rsidRPr="000158E1">
        <w:rPr>
          <w:rFonts w:ascii="Calibri" w:hAnsi="Calibri" w:cs="Calibri"/>
          <w:b/>
          <w:sz w:val="50"/>
          <w:lang w:val="en-US"/>
        </w:rPr>
        <w:t>My</w:t>
      </w:r>
      <w:r w:rsidRPr="000158E1">
        <w:rPr>
          <w:rFonts w:ascii="Calibri" w:hAnsi="Calibri" w:cs="Calibri"/>
          <w:b/>
          <w:sz w:val="64"/>
          <w:vertAlign w:val="subscript"/>
          <w:lang w:val="en-US"/>
        </w:rPr>
        <w:t>celium</w:t>
      </w:r>
      <w:r w:rsidRPr="000158E1">
        <w:rPr>
          <w:rFonts w:ascii="Calibri" w:hAnsi="Calibri" w:cs="Calibri"/>
          <w:b/>
          <w:sz w:val="50"/>
          <w:lang w:val="en-US"/>
        </w:rPr>
        <w:t>Tent</w:t>
      </w:r>
      <w:proofErr w:type="spellEnd"/>
    </w:p>
    <w:p w:rsidR="009854CE" w:rsidP="5A8524B8" w:rsidRDefault="008A7990" w14:paraId="5AA4D143" w14:textId="02CDBBC5">
      <w:pPr>
        <w:spacing w:after="6733" w:line="259" w:lineRule="auto"/>
        <w:ind w:right="3627"/>
        <w:jc w:val="right"/>
        <w:rPr>
          <w:rFonts w:ascii="Calibri" w:hAnsi="Calibri" w:cs="Calibri"/>
          <w:lang w:val="en-US"/>
        </w:rPr>
      </w:pPr>
      <w:r w:rsidRPr="5A8524B8">
        <w:rPr>
          <w:rFonts w:ascii="Calibri" w:hAnsi="Calibri" w:cs="Calibri"/>
          <w:b/>
          <w:bCs/>
          <w:lang w:val="en-US"/>
        </w:rPr>
        <w:t>The biodegradable tent</w:t>
      </w:r>
    </w:p>
    <w:p w:rsidR="009854CE" w:rsidP="5A8524B8" w:rsidRDefault="008A7990" w14:paraId="4E47C1E7" w14:textId="7426FB75">
      <w:pPr>
        <w:rPr>
          <w:lang w:val="en-US"/>
        </w:rPr>
      </w:pPr>
      <w:r w:rsidRPr="5A8524B8">
        <w:rPr>
          <w:b/>
          <w:bCs/>
          <w:sz w:val="28"/>
          <w:szCs w:val="28"/>
          <w:lang w:val="en-US"/>
        </w:rPr>
        <w:t>Team 31</w:t>
      </w:r>
      <w:r w:rsidRPr="5A8524B8" w:rsidR="5FEE0CA5">
        <w:rPr>
          <w:lang w:val="en-US"/>
        </w:rPr>
        <w:t xml:space="preserve"> </w:t>
      </w:r>
      <w:r w:rsidRPr="5A8524B8" w:rsidR="3BA97C26">
        <w:rPr>
          <w:lang w:val="en-US"/>
        </w:rPr>
        <w:t>Nyamdorj</w:t>
      </w:r>
      <w:r w:rsidRPr="5A8524B8" w:rsidR="49845EFA">
        <w:rPr>
          <w:lang w:val="en-US"/>
        </w:rPr>
        <w:t xml:space="preserve"> </w:t>
      </w:r>
      <w:r w:rsidRPr="5A8524B8" w:rsidR="3BA97C26">
        <w:rPr>
          <w:lang w:val="en-US"/>
        </w:rPr>
        <w:t>Narandavaa</w:t>
      </w:r>
      <w:r w:rsidRPr="5A8524B8" w:rsidR="319C734E">
        <w:rPr>
          <w:lang w:val="en-US"/>
        </w:rPr>
        <w:t xml:space="preserve"> </w:t>
      </w:r>
      <w:r w:rsidRPr="5A8524B8" w:rsidR="3BA97C26">
        <w:rPr>
          <w:lang w:val="en-US"/>
        </w:rPr>
        <w:t>McCarthy</w:t>
      </w:r>
      <w:r w:rsidRPr="5A8524B8" w:rsidR="5C1BD2AB">
        <w:rPr>
          <w:lang w:val="en-US"/>
        </w:rPr>
        <w:t xml:space="preserve"> </w:t>
      </w:r>
      <w:r w:rsidRPr="5A8524B8" w:rsidR="3BA97C26">
        <w:rPr>
          <w:lang w:val="en-US"/>
        </w:rPr>
        <w:t>Benjamin Frongillo Matteo Althaus Simon</w:t>
      </w:r>
    </w:p>
    <w:p w:rsidR="5A8524B8" w:rsidP="5A8524B8" w:rsidRDefault="5A8524B8" w14:paraId="3B7E8258" w14:textId="3D960942">
      <w:pPr>
        <w:rPr>
          <w:lang w:val="en-US"/>
        </w:rPr>
      </w:pPr>
    </w:p>
    <w:p w:rsidR="00E80964" w:rsidP="00665A83" w:rsidRDefault="37E7051A" w14:paraId="76A84B26" w14:textId="18B5729C">
      <w:pPr>
        <w:pStyle w:val="berschrift1"/>
      </w:pPr>
      <w:r>
        <w:lastRenderedPageBreak/>
        <w:t>Mycelium</w:t>
      </w:r>
    </w:p>
    <w:p w:rsidR="6C99E684" w:rsidP="5A8524B8" w:rsidRDefault="6C99E684" w14:paraId="140DF4BE" w14:textId="087E1377">
      <w:pPr>
        <w:rPr>
          <w:lang w:val="en-US"/>
        </w:rPr>
      </w:pPr>
      <w:r w:rsidRPr="5A8524B8">
        <w:rPr>
          <w:lang w:val="en-US"/>
        </w:rPr>
        <w:t xml:space="preserve">The development of the </w:t>
      </w:r>
      <w:proofErr w:type="spellStart"/>
      <w:r w:rsidRPr="5A8524B8">
        <w:rPr>
          <w:lang w:val="en-US"/>
        </w:rPr>
        <w:t>MyceliumTent</w:t>
      </w:r>
      <w:proofErr w:type="spellEnd"/>
      <w:r w:rsidRPr="5A8524B8">
        <w:rPr>
          <w:lang w:val="en-US"/>
        </w:rPr>
        <w:t xml:space="preserve"> </w:t>
      </w:r>
      <w:r w:rsidRPr="5A8524B8" w:rsidR="282E015C">
        <w:rPr>
          <w:lang w:val="en-US"/>
        </w:rPr>
        <w:t xml:space="preserve">is </w:t>
      </w:r>
      <w:r w:rsidRPr="5A8524B8" w:rsidR="7D26C466">
        <w:rPr>
          <w:lang w:val="en-US"/>
        </w:rPr>
        <w:t xml:space="preserve">focused on replacing existing nylon and plastic tent fabrics with a </w:t>
      </w:r>
      <w:proofErr w:type="gramStart"/>
      <w:r w:rsidRPr="5A8524B8" w:rsidR="7D26C466">
        <w:rPr>
          <w:lang w:val="en-US"/>
        </w:rPr>
        <w:t>mycelium based</w:t>
      </w:r>
      <w:proofErr w:type="gramEnd"/>
      <w:r w:rsidRPr="5A8524B8" w:rsidR="7D26C466">
        <w:rPr>
          <w:lang w:val="en-US"/>
        </w:rPr>
        <w:t xml:space="preserve"> fabric, in order to make it </w:t>
      </w:r>
      <w:r w:rsidRPr="5A8524B8" w:rsidR="6ACEC1E7">
        <w:rPr>
          <w:lang w:val="en-US"/>
        </w:rPr>
        <w:t>biodegradable</w:t>
      </w:r>
      <w:r w:rsidRPr="5A8524B8" w:rsidR="7D26C466">
        <w:rPr>
          <w:lang w:val="en-US"/>
        </w:rPr>
        <w:t>.</w:t>
      </w:r>
    </w:p>
    <w:p w:rsidR="480A49CD" w:rsidP="5A8524B8" w:rsidRDefault="480A49CD" w14:paraId="6AF76529" w14:textId="40866C9F">
      <w:pPr>
        <w:pStyle w:val="berschrift2"/>
        <w:rPr>
          <w:lang w:val="en-US"/>
        </w:rPr>
      </w:pPr>
      <w:r w:rsidRPr="5A8524B8">
        <w:rPr>
          <w:lang w:val="en-US"/>
        </w:rPr>
        <w:t>1.1 Definition</w:t>
      </w:r>
    </w:p>
    <w:p w:rsidR="2D671C40" w:rsidP="5A8524B8" w:rsidRDefault="2D671C40" w14:paraId="78C8294C" w14:textId="53E77679">
      <w:pPr>
        <w:rPr>
          <w:lang w:val="en-US"/>
        </w:rPr>
      </w:pPr>
      <w:r w:rsidRPr="698A3A66" w:rsidR="15E4791F">
        <w:rPr>
          <w:lang w:val="en-US"/>
        </w:rPr>
        <w:t>Mycelium is the underground root Network</w:t>
      </w:r>
      <w:r w:rsidRPr="698A3A66" w:rsidR="6F4A13F6">
        <w:rPr>
          <w:lang w:val="en-US"/>
        </w:rPr>
        <w:t xml:space="preserve"> </w:t>
      </w:r>
      <w:r w:rsidRPr="698A3A66" w:rsidR="15E4791F">
        <w:rPr>
          <w:lang w:val="en-US"/>
        </w:rPr>
        <w:t xml:space="preserve">created by </w:t>
      </w:r>
      <w:r w:rsidRPr="698A3A66" w:rsidR="669AB20A">
        <w:rPr>
          <w:lang w:val="en-US"/>
        </w:rPr>
        <w:t xml:space="preserve">a </w:t>
      </w:r>
      <w:r w:rsidRPr="698A3A66" w:rsidR="15E4791F">
        <w:rPr>
          <w:lang w:val="en-US"/>
        </w:rPr>
        <w:t xml:space="preserve">mushroom organism. Fungi nourish themselves by secreting digestive enzymes to break down organic material in their </w:t>
      </w:r>
      <w:r w:rsidRPr="698A3A66" w:rsidR="15E4791F">
        <w:rPr>
          <w:lang w:val="en-US"/>
        </w:rPr>
        <w:t>surrounding</w:t>
      </w:r>
      <w:r w:rsidRPr="698A3A66" w:rsidR="15E4791F">
        <w:rPr>
          <w:lang w:val="en-US"/>
        </w:rPr>
        <w:t xml:space="preserve"> and absorb it through the cell walls of the Hyphen, the</w:t>
      </w:r>
      <w:r w:rsidRPr="698A3A66" w:rsidR="7A7EBB07">
        <w:rPr>
          <w:lang w:val="en-US"/>
        </w:rPr>
        <w:t>ir</w:t>
      </w:r>
      <w:r w:rsidRPr="698A3A66" w:rsidR="15E4791F">
        <w:rPr>
          <w:lang w:val="en-US"/>
        </w:rPr>
        <w:t xml:space="preserve"> root network</w:t>
      </w:r>
      <w:r w:rsidRPr="698A3A66" w:rsidR="789084DB">
        <w:rPr>
          <w:lang w:val="en-US"/>
        </w:rPr>
        <w:t xml:space="preserve"> (</w:t>
      </w:r>
      <w:r w:rsidRPr="698A3A66" w:rsidR="38B9AF36">
        <w:rPr>
          <w:lang w:val="en-US"/>
        </w:rPr>
        <w:t>Moore</w:t>
      </w:r>
      <w:r w:rsidRPr="698A3A66" w:rsidR="4EA46748">
        <w:rPr>
          <w:lang w:val="en-US"/>
        </w:rPr>
        <w:t>,2024</w:t>
      </w:r>
      <w:r w:rsidRPr="698A3A66" w:rsidR="7A706E76">
        <w:rPr>
          <w:lang w:val="en-US"/>
        </w:rPr>
        <w:t xml:space="preserve">) </w:t>
      </w:r>
      <w:r w:rsidRPr="698A3A66" w:rsidR="206FEAB3">
        <w:rPr>
          <w:lang w:val="en-US"/>
        </w:rPr>
        <w:t>.</w:t>
      </w:r>
      <w:r w:rsidRPr="698A3A66" w:rsidR="206FEAB3">
        <w:rPr>
          <w:lang w:val="en-US"/>
        </w:rPr>
        <w:t xml:space="preserve"> </w:t>
      </w:r>
      <w:r w:rsidRPr="698A3A66" w:rsidR="2C787368">
        <w:rPr>
          <w:lang w:val="en-US"/>
        </w:rPr>
        <w:t xml:space="preserve"> </w:t>
      </w:r>
      <w:r w:rsidRPr="698A3A66" w:rsidR="206FEAB3">
        <w:rPr>
          <w:lang w:val="en-US"/>
        </w:rPr>
        <w:t>Various different</w:t>
      </w:r>
      <w:r w:rsidRPr="698A3A66" w:rsidR="206FEAB3">
        <w:rPr>
          <w:lang w:val="en-US"/>
        </w:rPr>
        <w:t xml:space="preserve"> types of fungi produce mycelium. The interes</w:t>
      </w:r>
      <w:r w:rsidRPr="698A3A66" w:rsidR="16866AD1">
        <w:rPr>
          <w:lang w:val="en-US"/>
        </w:rPr>
        <w:t xml:space="preserve">t in this project is a fungus with a high growth rate, suitable </w:t>
      </w:r>
      <w:r w:rsidRPr="698A3A66" w:rsidR="16866AD1">
        <w:rPr>
          <w:lang w:val="en-US"/>
        </w:rPr>
        <w:t>for</w:t>
      </w:r>
      <w:r w:rsidRPr="698A3A66" w:rsidR="0C3273CD">
        <w:rPr>
          <w:lang w:val="en-US"/>
        </w:rPr>
        <w:t xml:space="preserve"> the production of</w:t>
      </w:r>
      <w:r w:rsidRPr="698A3A66" w:rsidR="16866AD1">
        <w:rPr>
          <w:lang w:val="en-US"/>
        </w:rPr>
        <w:t xml:space="preserve"> </w:t>
      </w:r>
      <w:r w:rsidRPr="698A3A66" w:rsidR="32B69CDE">
        <w:rPr>
          <w:lang w:val="en-US"/>
        </w:rPr>
        <w:t>biocomposites</w:t>
      </w:r>
      <w:r w:rsidRPr="698A3A66" w:rsidR="32B69CDE">
        <w:rPr>
          <w:lang w:val="en-US"/>
        </w:rPr>
        <w:t xml:space="preserve">. </w:t>
      </w:r>
      <w:r w:rsidRPr="698A3A66" w:rsidR="0788657F">
        <w:rPr>
          <w:lang w:val="en-US"/>
        </w:rPr>
        <w:t xml:space="preserve">In this case it is possible to </w:t>
      </w:r>
      <w:r w:rsidRPr="698A3A66" w:rsidR="0788657F">
        <w:rPr>
          <w:lang w:val="en-US"/>
        </w:rPr>
        <w:t>use</w:t>
      </w:r>
      <w:r w:rsidRPr="698A3A66" w:rsidR="32B69CDE">
        <w:rPr>
          <w:lang w:val="en-US"/>
        </w:rPr>
        <w:t xml:space="preserve">  the</w:t>
      </w:r>
      <w:r w:rsidRPr="698A3A66" w:rsidR="32B69CDE">
        <w:rPr>
          <w:lang w:val="en-US"/>
        </w:rPr>
        <w:t xml:space="preserve"> oyster mushroom</w:t>
      </w:r>
      <w:r w:rsidRPr="698A3A66" w:rsidR="47C1D41E">
        <w:rPr>
          <w:lang w:val="en-US"/>
        </w:rPr>
        <w:t xml:space="preserve"> (Mihai Bogdan,2016)</w:t>
      </w:r>
      <w:r w:rsidRPr="698A3A66" w:rsidR="3DDCD904">
        <w:rPr>
          <w:lang w:val="en-US"/>
        </w:rPr>
        <w:t>.</w:t>
      </w:r>
    </w:p>
    <w:p w:rsidR="00364421" w:rsidP="7570BEB0" w:rsidRDefault="2D671C40" w14:paraId="79E447B7" w14:textId="5D969704">
      <w:pPr>
        <w:rPr>
          <w:lang w:val="en-US"/>
        </w:rPr>
      </w:pPr>
      <w:r w:rsidRPr="7570BEB0">
        <w:rPr>
          <w:lang w:val="en-US"/>
        </w:rPr>
        <w:t xml:space="preserve">Moore, D., </w:t>
      </w:r>
      <w:proofErr w:type="spellStart"/>
      <w:r w:rsidRPr="7570BEB0">
        <w:rPr>
          <w:lang w:val="en-US"/>
        </w:rPr>
        <w:t>Ahmadjian</w:t>
      </w:r>
      <w:proofErr w:type="spellEnd"/>
      <w:r w:rsidRPr="7570BEB0">
        <w:rPr>
          <w:lang w:val="en-US"/>
        </w:rPr>
        <w:t>, V., &amp; Alexopoulos, C. J. (</w:t>
      </w:r>
      <w:proofErr w:type="gramStart"/>
      <w:r w:rsidRPr="7570BEB0">
        <w:rPr>
          <w:lang w:val="en-US"/>
        </w:rPr>
        <w:t>October,</w:t>
      </w:r>
      <w:proofErr w:type="gramEnd"/>
      <w:r w:rsidRPr="7570BEB0">
        <w:rPr>
          <w:lang w:val="en-US"/>
        </w:rPr>
        <w:t xml:space="preserve"> 2024). Fungus. Encyclopedia Britannica. </w:t>
      </w:r>
    </w:p>
    <w:p w:rsidR="00364421" w:rsidP="7570BEB0" w:rsidRDefault="29D26E8C" w14:paraId="3E7EA750" w14:textId="64037A02">
      <w:pPr>
        <w:rPr>
          <w:rFonts w:ascii="Aptos" w:hAnsi="Aptos" w:eastAsia="Aptos" w:cs="Aptos"/>
          <w:lang w:val="en-US"/>
        </w:rPr>
      </w:pPr>
      <w:proofErr w:type="spellStart"/>
      <w:r w:rsidRPr="5A8524B8">
        <w:rPr>
          <w:rFonts w:ascii="Arial" w:hAnsi="Arial" w:eastAsia="Arial" w:cs="Arial"/>
          <w:color w:val="222222"/>
          <w:sz w:val="20"/>
          <w:szCs w:val="20"/>
          <w:lang w:val="en-GB"/>
        </w:rPr>
        <w:t>Nicolcioiu</w:t>
      </w:r>
      <w:proofErr w:type="spellEnd"/>
      <w:r w:rsidRPr="5A8524B8">
        <w:rPr>
          <w:rFonts w:ascii="Arial" w:hAnsi="Arial" w:eastAsia="Arial" w:cs="Arial"/>
          <w:color w:val="222222"/>
          <w:sz w:val="20"/>
          <w:szCs w:val="20"/>
          <w:lang w:val="en-GB"/>
        </w:rPr>
        <w:t xml:space="preserve"> Mihai Bogdan, Gabriela Popa, and Florentina Matei. "Mushroom mycelia cultivation on different agricultural waste substrates." </w:t>
      </w:r>
      <w:r w:rsidRPr="5A8524B8">
        <w:rPr>
          <w:rFonts w:ascii="Arial" w:hAnsi="Arial" w:eastAsia="Arial" w:cs="Arial"/>
          <w:i/>
          <w:iCs/>
          <w:color w:val="222222"/>
          <w:sz w:val="20"/>
          <w:szCs w:val="20"/>
          <w:lang w:val="en-GB"/>
        </w:rPr>
        <w:t>Scientific Bulletin. Series F. Biotechnologies</w:t>
      </w:r>
      <w:r w:rsidRPr="5A8524B8">
        <w:rPr>
          <w:rFonts w:ascii="Arial" w:hAnsi="Arial" w:eastAsia="Arial" w:cs="Arial"/>
          <w:color w:val="222222"/>
          <w:sz w:val="20"/>
          <w:szCs w:val="20"/>
          <w:lang w:val="en-GB"/>
        </w:rPr>
        <w:t xml:space="preserve"> 20 (2016): 148-153.</w:t>
      </w:r>
    </w:p>
    <w:p w:rsidR="00364421" w:rsidP="5A8524B8" w:rsidRDefault="30912C3C" w14:paraId="073B0DA5" w14:textId="21C70592">
      <w:pPr>
        <w:pStyle w:val="berschrift2"/>
        <w:rPr>
          <w:lang w:val="en-US"/>
        </w:rPr>
      </w:pPr>
      <w:r w:rsidRPr="5A8524B8">
        <w:rPr>
          <w:lang w:val="en-US"/>
        </w:rPr>
        <w:t xml:space="preserve">1.2 </w:t>
      </w:r>
      <w:r w:rsidRPr="5A8524B8" w:rsidR="2D671C40">
        <w:rPr>
          <w:lang w:val="en-US"/>
        </w:rPr>
        <w:t>Potential of mycelium</w:t>
      </w:r>
    </w:p>
    <w:p w:rsidR="00364421" w:rsidP="7570BEB0" w:rsidRDefault="2D671C40" w14:paraId="3D8F6FA3" w14:textId="4D00AF1A">
      <w:pPr>
        <w:rPr>
          <w:lang w:val="en-US"/>
        </w:rPr>
      </w:pPr>
      <w:r w:rsidRPr="5A8524B8">
        <w:rPr>
          <w:lang w:val="en-US"/>
        </w:rPr>
        <w:t>The potential of this material lies in the low carbon footprint, low energy and processing cost</w:t>
      </w:r>
      <w:r w:rsidRPr="5A8524B8" w:rsidR="39D1F7D9">
        <w:rPr>
          <w:lang w:val="en-US"/>
        </w:rPr>
        <w:t xml:space="preserve"> and the </w:t>
      </w:r>
      <w:r w:rsidRPr="5A8524B8">
        <w:rPr>
          <w:lang w:val="en-US"/>
        </w:rPr>
        <w:t>biodegradability</w:t>
      </w:r>
      <w:r w:rsidRPr="5A8524B8" w:rsidR="2D959EF8">
        <w:rPr>
          <w:lang w:val="en-US"/>
        </w:rPr>
        <w:t xml:space="preserve"> (</w:t>
      </w:r>
      <w:proofErr w:type="spellStart"/>
      <w:r w:rsidRPr="5A8524B8" w:rsidR="2D959EF8">
        <w:rPr>
          <w:lang w:val="en-US"/>
        </w:rPr>
        <w:t>Alaneme</w:t>
      </w:r>
      <w:proofErr w:type="spellEnd"/>
      <w:r w:rsidRPr="5A8524B8" w:rsidR="2D959EF8">
        <w:rPr>
          <w:lang w:val="en-US"/>
        </w:rPr>
        <w:t>, 2023, 234-250)</w:t>
      </w:r>
      <w:r w:rsidRPr="5A8524B8">
        <w:rPr>
          <w:lang w:val="en-US"/>
        </w:rPr>
        <w:t xml:space="preserve">. The most common </w:t>
      </w:r>
      <w:r w:rsidRPr="5A8524B8" w:rsidR="28F5EEAC">
        <w:rPr>
          <w:lang w:val="en-US"/>
        </w:rPr>
        <w:t>use cases</w:t>
      </w:r>
      <w:r w:rsidRPr="5A8524B8">
        <w:rPr>
          <w:lang w:val="en-US"/>
        </w:rPr>
        <w:t xml:space="preserve"> in the industry so </w:t>
      </w:r>
      <w:r w:rsidRPr="5A8524B8" w:rsidR="02AFE85E">
        <w:rPr>
          <w:lang w:val="en-US"/>
        </w:rPr>
        <w:t>far</w:t>
      </w:r>
      <w:r w:rsidRPr="5A8524B8">
        <w:rPr>
          <w:lang w:val="en-US"/>
        </w:rPr>
        <w:t xml:space="preserve"> </w:t>
      </w:r>
      <w:proofErr w:type="gramStart"/>
      <w:r w:rsidRPr="5A8524B8">
        <w:rPr>
          <w:lang w:val="en-US"/>
        </w:rPr>
        <w:t>is</w:t>
      </w:r>
      <w:proofErr w:type="gramEnd"/>
      <w:r w:rsidRPr="5A8524B8">
        <w:rPr>
          <w:lang w:val="en-US"/>
        </w:rPr>
        <w:t xml:space="preserve"> leather</w:t>
      </w:r>
      <w:r w:rsidRPr="5A8524B8" w:rsidR="3F06A3AE">
        <w:rPr>
          <w:lang w:val="en-US"/>
        </w:rPr>
        <w:t>, packaging material</w:t>
      </w:r>
      <w:r w:rsidRPr="5A8524B8">
        <w:rPr>
          <w:lang w:val="en-US"/>
        </w:rPr>
        <w:t xml:space="preserve"> or </w:t>
      </w:r>
      <w:proofErr w:type="spellStart"/>
      <w:r w:rsidRPr="5A8524B8">
        <w:rPr>
          <w:lang w:val="en-US"/>
        </w:rPr>
        <w:t>composits</w:t>
      </w:r>
      <w:proofErr w:type="spellEnd"/>
      <w:r w:rsidRPr="5A8524B8">
        <w:rPr>
          <w:lang w:val="en-US"/>
        </w:rPr>
        <w:t xml:space="preserve"> used for</w:t>
      </w:r>
      <w:r w:rsidRPr="5A8524B8" w:rsidR="103BE259">
        <w:rPr>
          <w:lang w:val="en-US"/>
        </w:rPr>
        <w:t xml:space="preserve"> </w:t>
      </w:r>
      <w:r w:rsidRPr="5A8524B8" w:rsidR="72F08839">
        <w:rPr>
          <w:lang w:val="en-US"/>
        </w:rPr>
        <w:t>construction.</w:t>
      </w:r>
      <w:r w:rsidRPr="5A8524B8">
        <w:rPr>
          <w:lang w:val="en-US"/>
        </w:rPr>
        <w:t xml:space="preserve"> Challenges are the lack of standardized treatment in the development of the material</w:t>
      </w:r>
      <w:r w:rsidRPr="5A8524B8" w:rsidR="7FFF2E7C">
        <w:rPr>
          <w:lang w:val="en-US"/>
        </w:rPr>
        <w:t xml:space="preserve">. </w:t>
      </w:r>
      <w:r w:rsidRPr="5A8524B8" w:rsidR="1F4B65B9">
        <w:rPr>
          <w:lang w:val="en-US"/>
        </w:rPr>
        <w:t xml:space="preserve">This project explores </w:t>
      </w:r>
      <w:r w:rsidRPr="5A8524B8" w:rsidR="66936506">
        <w:rPr>
          <w:lang w:val="en-US"/>
        </w:rPr>
        <w:t xml:space="preserve">especially </w:t>
      </w:r>
      <w:proofErr w:type="gramStart"/>
      <w:r w:rsidRPr="5A8524B8" w:rsidR="1F4B65B9">
        <w:rPr>
          <w:lang w:val="en-US"/>
        </w:rPr>
        <w:t>the biodegradability</w:t>
      </w:r>
      <w:proofErr w:type="gramEnd"/>
      <w:r w:rsidRPr="5A8524B8" w:rsidR="1F4B65B9">
        <w:rPr>
          <w:lang w:val="en-US"/>
        </w:rPr>
        <w:t>, breathability, durability, water and fire resistance</w:t>
      </w:r>
      <w:r w:rsidRPr="5A8524B8" w:rsidR="3B4B8E03">
        <w:rPr>
          <w:lang w:val="en-US"/>
        </w:rPr>
        <w:t xml:space="preserve"> as needed to construct a tent fabric.</w:t>
      </w:r>
    </w:p>
    <w:p w:rsidR="5A8524B8" w:rsidP="5A8524B8" w:rsidRDefault="5A8524B8" w14:paraId="491BC622" w14:textId="103CD289">
      <w:pPr>
        <w:rPr>
          <w:lang w:val="en-US"/>
        </w:rPr>
      </w:pPr>
    </w:p>
    <w:p w:rsidR="00364421" w:rsidP="7570BEB0" w:rsidRDefault="2D671C40" w14:paraId="526C0B67" w14:textId="65251A2D">
      <w:pPr>
        <w:rPr>
          <w:lang w:val="en-US"/>
        </w:rPr>
      </w:pPr>
      <w:proofErr w:type="spellStart"/>
      <w:r w:rsidRPr="7570BEB0">
        <w:rPr>
          <w:lang w:val="en-US"/>
        </w:rPr>
        <w:t>Alaneme</w:t>
      </w:r>
      <w:proofErr w:type="spellEnd"/>
      <w:r w:rsidRPr="7570BEB0">
        <w:rPr>
          <w:lang w:val="en-US"/>
        </w:rPr>
        <w:t xml:space="preserve">, K. K., Anaele, J. U., </w:t>
      </w:r>
      <w:proofErr w:type="spellStart"/>
      <w:r w:rsidRPr="7570BEB0">
        <w:rPr>
          <w:lang w:val="en-US"/>
        </w:rPr>
        <w:t>Oke</w:t>
      </w:r>
      <w:proofErr w:type="spellEnd"/>
      <w:r w:rsidRPr="7570BEB0">
        <w:rPr>
          <w:lang w:val="en-US"/>
        </w:rPr>
        <w:t xml:space="preserve">, T. M., Kareem, S. A., Adediran, M., </w:t>
      </w:r>
      <w:proofErr w:type="spellStart"/>
      <w:r w:rsidRPr="7570BEB0">
        <w:rPr>
          <w:lang w:val="en-US"/>
        </w:rPr>
        <w:t>Ajibuwa</w:t>
      </w:r>
      <w:proofErr w:type="spellEnd"/>
      <w:r w:rsidRPr="7570BEB0">
        <w:rPr>
          <w:lang w:val="en-US"/>
        </w:rPr>
        <w:t xml:space="preserve">, O. A., &amp; </w:t>
      </w:r>
      <w:proofErr w:type="spellStart"/>
      <w:r w:rsidRPr="7570BEB0">
        <w:rPr>
          <w:lang w:val="en-US"/>
        </w:rPr>
        <w:t>Anabaranze</w:t>
      </w:r>
      <w:proofErr w:type="spellEnd"/>
      <w:r w:rsidRPr="7570BEB0">
        <w:rPr>
          <w:lang w:val="en-US"/>
        </w:rPr>
        <w:t>, Y. O. (</w:t>
      </w:r>
      <w:proofErr w:type="gramStart"/>
      <w:r w:rsidRPr="7570BEB0">
        <w:rPr>
          <w:lang w:val="en-US"/>
        </w:rPr>
        <w:t>October,</w:t>
      </w:r>
      <w:proofErr w:type="gramEnd"/>
      <w:r w:rsidRPr="7570BEB0">
        <w:rPr>
          <w:lang w:val="en-US"/>
        </w:rPr>
        <w:t xml:space="preserve"> 2023). Alexandria Engineering Journal, 83, 234–250. </w:t>
      </w:r>
      <w:hyperlink r:id="rId6">
        <w:r w:rsidRPr="7570BEB0">
          <w:rPr>
            <w:lang w:val="en-US"/>
          </w:rPr>
          <w:t>https://doi.org/https://doi.org/10.1016/j.aej.2023.10.012</w:t>
        </w:r>
      </w:hyperlink>
    </w:p>
    <w:p w:rsidR="00364421" w:rsidP="7570BEB0" w:rsidRDefault="38A4F1E4" w14:paraId="54CB50D8" w14:textId="1F70F718">
      <w:pPr>
        <w:pStyle w:val="berschrift1"/>
      </w:pPr>
      <w:r>
        <w:t>Environment</w:t>
      </w:r>
    </w:p>
    <w:p w:rsidRPr="00432071" w:rsidR="3FE95E87" w:rsidP="7570BEB0" w:rsidRDefault="3FE95E87" w14:paraId="46EE3B57" w14:textId="28832880">
      <w:pPr>
        <w:spacing w:line="257" w:lineRule="auto"/>
        <w:rPr>
          <w:lang w:val="en-GB"/>
        </w:rPr>
      </w:pPr>
      <w:r w:rsidRPr="7570BEB0">
        <w:rPr>
          <w:rFonts w:ascii="Aptos" w:hAnsi="Aptos" w:eastAsia="Aptos" w:cs="Aptos"/>
          <w:sz w:val="22"/>
          <w:szCs w:val="22"/>
          <w:lang w:val="en-US"/>
        </w:rPr>
        <w:t>This chapter explores different properties of mycelium bio-composites (MBC). MBCs are “composed of an agricultural residue, a non-living material, colonized by a fungus” (</w:t>
      </w:r>
      <w:proofErr w:type="spellStart"/>
      <w:r w:rsidRPr="7570BEB0">
        <w:rPr>
          <w:rFonts w:ascii="Aptos" w:hAnsi="Aptos" w:eastAsia="Aptos" w:cs="Aptos"/>
          <w:sz w:val="22"/>
          <w:szCs w:val="22"/>
          <w:lang w:val="en-US"/>
        </w:rPr>
        <w:t>Amziane</w:t>
      </w:r>
      <w:proofErr w:type="spellEnd"/>
      <w:r w:rsidRPr="7570BEB0">
        <w:rPr>
          <w:rFonts w:ascii="Aptos" w:hAnsi="Aptos" w:eastAsia="Aptos" w:cs="Aptos"/>
          <w:sz w:val="22"/>
          <w:szCs w:val="22"/>
          <w:lang w:val="en-US"/>
        </w:rPr>
        <w:t xml:space="preserve"> et al., 2023, S. 740). As of </w:t>
      </w:r>
      <w:proofErr w:type="gramStart"/>
      <w:r w:rsidRPr="7570BEB0">
        <w:rPr>
          <w:rFonts w:ascii="Aptos" w:hAnsi="Aptos" w:eastAsia="Aptos" w:cs="Aptos"/>
          <w:sz w:val="22"/>
          <w:szCs w:val="22"/>
          <w:lang w:val="en-US"/>
        </w:rPr>
        <w:t>today</w:t>
      </w:r>
      <w:proofErr w:type="gramEnd"/>
      <w:r w:rsidRPr="7570BEB0">
        <w:rPr>
          <w:rFonts w:ascii="Aptos" w:hAnsi="Aptos" w:eastAsia="Aptos" w:cs="Aptos"/>
          <w:sz w:val="22"/>
          <w:szCs w:val="22"/>
          <w:lang w:val="en-US"/>
        </w:rPr>
        <w:t xml:space="preserve"> the full potential of MBCs has not been found and different production processes and growth combinations (types of fungi and substrates) are </w:t>
      </w:r>
      <w:proofErr w:type="gramStart"/>
      <w:r w:rsidRPr="7570BEB0">
        <w:rPr>
          <w:rFonts w:ascii="Aptos" w:hAnsi="Aptos" w:eastAsia="Aptos" w:cs="Aptos"/>
          <w:sz w:val="22"/>
          <w:szCs w:val="22"/>
          <w:lang w:val="en-US"/>
        </w:rPr>
        <w:t>continuing being</w:t>
      </w:r>
      <w:proofErr w:type="gramEnd"/>
      <w:r w:rsidRPr="7570BEB0">
        <w:rPr>
          <w:rFonts w:ascii="Aptos" w:hAnsi="Aptos" w:eastAsia="Aptos" w:cs="Aptos"/>
          <w:sz w:val="22"/>
          <w:szCs w:val="22"/>
          <w:lang w:val="en-US"/>
        </w:rPr>
        <w:t xml:space="preserve"> tested and compared. </w:t>
      </w:r>
    </w:p>
    <w:p w:rsidR="3FE95E87" w:rsidP="7570BEB0" w:rsidRDefault="3FE95E87" w14:paraId="316EBDB6" w14:textId="68E4B4DF">
      <w:pPr>
        <w:spacing w:line="257" w:lineRule="auto"/>
        <w:rPr>
          <w:lang w:val="en-US"/>
        </w:rPr>
      </w:pPr>
      <w:r w:rsidRPr="7570BEB0">
        <w:rPr>
          <w:rFonts w:asciiTheme="majorHAnsi" w:hAnsiTheme="majorHAnsi" w:eastAsiaTheme="majorEastAsia" w:cstheme="majorBidi"/>
          <w:color w:val="0F4761" w:themeColor="accent1" w:themeShade="BF"/>
          <w:sz w:val="32"/>
          <w:szCs w:val="32"/>
          <w:lang w:val="en-US"/>
        </w:rPr>
        <w:t>2.1 Mycelium bio-composites</w:t>
      </w:r>
    </w:p>
    <w:p w:rsidR="3FE95E87" w:rsidP="7570BEB0" w:rsidRDefault="3FE95E87" w14:paraId="271958DE" w14:textId="6FAD7D6C">
      <w:pPr>
        <w:spacing w:line="257" w:lineRule="auto"/>
        <w:rPr>
          <w:rFonts w:ascii="Aptos" w:hAnsi="Aptos" w:eastAsia="Aptos" w:cs="Aptos"/>
          <w:sz w:val="22"/>
          <w:szCs w:val="22"/>
          <w:lang w:val="en-US"/>
        </w:rPr>
      </w:pPr>
      <w:r w:rsidRPr="5A8524B8">
        <w:rPr>
          <w:rFonts w:ascii="Aptos" w:hAnsi="Aptos" w:eastAsia="Aptos" w:cs="Aptos"/>
          <w:sz w:val="22"/>
          <w:szCs w:val="22"/>
          <w:lang w:val="en-US"/>
        </w:rPr>
        <w:t xml:space="preserve">Some important properties for this product are sound absorption, thermal conductivity and moisture buffering value. These </w:t>
      </w:r>
      <w:proofErr w:type="gramStart"/>
      <w:r w:rsidRPr="5A8524B8">
        <w:rPr>
          <w:rFonts w:ascii="Aptos" w:hAnsi="Aptos" w:eastAsia="Aptos" w:cs="Aptos"/>
          <w:sz w:val="22"/>
          <w:szCs w:val="22"/>
          <w:lang w:val="en-US"/>
        </w:rPr>
        <w:t>properties highly</w:t>
      </w:r>
      <w:proofErr w:type="gramEnd"/>
      <w:r w:rsidRPr="5A8524B8">
        <w:rPr>
          <w:rFonts w:ascii="Aptos" w:hAnsi="Aptos" w:eastAsia="Aptos" w:cs="Aptos"/>
          <w:sz w:val="22"/>
          <w:szCs w:val="22"/>
          <w:lang w:val="en-US"/>
        </w:rPr>
        <w:t xml:space="preserve"> differ depending on substrate-fungus combination. Research of fifty unprocessed MBCs has found that the sound absorption </w:t>
      </w:r>
      <w:r w:rsidRPr="5A8524B8">
        <w:rPr>
          <w:rFonts w:ascii="Aptos" w:hAnsi="Aptos" w:eastAsia="Aptos" w:cs="Aptos"/>
          <w:sz w:val="22"/>
          <w:szCs w:val="22"/>
          <w:lang w:val="en-US"/>
        </w:rPr>
        <w:lastRenderedPageBreak/>
        <w:t xml:space="preserve">coefficient differs from 0.5 to 0.95 depending on the frequency, showing they are </w:t>
      </w:r>
      <w:proofErr w:type="gramStart"/>
      <w:r w:rsidRPr="5A8524B8">
        <w:rPr>
          <w:rFonts w:ascii="Aptos" w:hAnsi="Aptos" w:eastAsia="Aptos" w:cs="Aptos"/>
          <w:sz w:val="22"/>
          <w:szCs w:val="22"/>
          <w:lang w:val="en-US"/>
        </w:rPr>
        <w:t>a good</w:t>
      </w:r>
      <w:proofErr w:type="gramEnd"/>
      <w:r w:rsidRPr="5A8524B8">
        <w:rPr>
          <w:rFonts w:ascii="Aptos" w:hAnsi="Aptos" w:eastAsia="Aptos" w:cs="Aptos"/>
          <w:sz w:val="22"/>
          <w:szCs w:val="22"/>
          <w:lang w:val="en-US"/>
        </w:rPr>
        <w:t xml:space="preserve"> sound absorber. (</w:t>
      </w:r>
      <w:proofErr w:type="spellStart"/>
      <w:r w:rsidRPr="5A8524B8">
        <w:rPr>
          <w:rFonts w:ascii="Aptos" w:hAnsi="Aptos" w:eastAsia="Aptos" w:cs="Aptos"/>
          <w:sz w:val="22"/>
          <w:szCs w:val="22"/>
          <w:lang w:val="en-US"/>
        </w:rPr>
        <w:t>Amziane</w:t>
      </w:r>
      <w:proofErr w:type="spellEnd"/>
      <w:r w:rsidRPr="5A8524B8">
        <w:rPr>
          <w:rFonts w:ascii="Aptos" w:hAnsi="Aptos" w:eastAsia="Aptos" w:cs="Aptos"/>
          <w:sz w:val="22"/>
          <w:szCs w:val="22"/>
          <w:lang w:val="en-US"/>
        </w:rPr>
        <w:t xml:space="preserve"> et al., 2023, S. 749). The thermal conductivity value was found to be </w:t>
      </w:r>
      <w:proofErr w:type="gramStart"/>
      <w:r w:rsidRPr="5A8524B8">
        <w:rPr>
          <w:rFonts w:ascii="Aptos" w:hAnsi="Aptos" w:eastAsia="Aptos" w:cs="Aptos"/>
          <w:sz w:val="22"/>
          <w:szCs w:val="22"/>
          <w:lang w:val="en-US"/>
        </w:rPr>
        <w:t>between  0,057</w:t>
      </w:r>
      <w:proofErr w:type="gramEnd"/>
      <w:r w:rsidRPr="5A8524B8">
        <w:rPr>
          <w:rFonts w:ascii="Aptos" w:hAnsi="Aptos" w:eastAsia="Aptos" w:cs="Aptos"/>
          <w:sz w:val="22"/>
          <w:szCs w:val="22"/>
          <w:lang w:val="en-US"/>
        </w:rPr>
        <w:t>–0,085WM−1k−1 and the mean moisture buffering value 1.632 (</w:t>
      </w:r>
      <w:proofErr w:type="spellStart"/>
      <w:r w:rsidRPr="5A8524B8">
        <w:rPr>
          <w:rFonts w:ascii="Aptos" w:hAnsi="Aptos" w:eastAsia="Aptos" w:cs="Aptos"/>
          <w:sz w:val="22"/>
          <w:szCs w:val="22"/>
          <w:lang w:val="en-US"/>
        </w:rPr>
        <w:t>Amziane</w:t>
      </w:r>
      <w:proofErr w:type="spellEnd"/>
      <w:r w:rsidRPr="5A8524B8">
        <w:rPr>
          <w:rFonts w:ascii="Aptos" w:hAnsi="Aptos" w:eastAsia="Aptos" w:cs="Aptos"/>
          <w:sz w:val="22"/>
          <w:szCs w:val="22"/>
          <w:lang w:val="en-US"/>
        </w:rPr>
        <w:t xml:space="preserve"> et al., 2023, S. 749). However no clear values of water resistance could be found, although it is possible to coat the MBC in biodegradable Polyurethanes or beeswax for extra water resistance.</w:t>
      </w:r>
    </w:p>
    <w:p w:rsidRPr="00432071" w:rsidR="00432071" w:rsidP="3F3F4063" w:rsidRDefault="00432071" w14:paraId="25D01B14" w14:textId="35ED736B">
      <w:pPr>
        <w:spacing w:line="257" w:lineRule="auto"/>
        <w:rPr>
          <w:lang w:val="en-GB"/>
        </w:rPr>
      </w:pPr>
    </w:p>
    <w:p w:rsidRPr="00432071" w:rsidR="3FE95E87" w:rsidP="7570BEB0" w:rsidRDefault="3FE95E87" w14:paraId="74879E8E" w14:textId="722D1266">
      <w:pPr>
        <w:spacing w:line="257" w:lineRule="auto"/>
        <w:rPr>
          <w:rFonts w:asciiTheme="majorHAnsi" w:hAnsiTheme="majorHAnsi" w:eastAsiaTheme="majorEastAsia" w:cstheme="majorBidi"/>
          <w:color w:val="0F4761" w:themeColor="accent1" w:themeShade="BF"/>
          <w:sz w:val="32"/>
          <w:szCs w:val="32"/>
          <w:lang w:val="en-US"/>
        </w:rPr>
      </w:pPr>
      <w:r w:rsidRPr="00432071">
        <w:rPr>
          <w:rFonts w:asciiTheme="majorHAnsi" w:hAnsiTheme="majorHAnsi" w:eastAsiaTheme="majorEastAsia" w:cstheme="majorBidi"/>
          <w:color w:val="0F4761" w:themeColor="accent1" w:themeShade="BF"/>
          <w:sz w:val="32"/>
          <w:szCs w:val="32"/>
          <w:lang w:val="en-US"/>
        </w:rPr>
        <w:t>2.2 Mycelium-based leather</w:t>
      </w:r>
    </w:p>
    <w:p w:rsidRPr="00432071" w:rsidR="3FE95E87" w:rsidP="7570BEB0" w:rsidRDefault="3FE95E87" w14:paraId="14AF5142" w14:textId="63FA469F">
      <w:pPr>
        <w:spacing w:line="257" w:lineRule="auto"/>
        <w:rPr>
          <w:lang w:val="en-GB"/>
        </w:rPr>
      </w:pPr>
      <w:r w:rsidRPr="7570BEB0">
        <w:rPr>
          <w:rFonts w:ascii="Aptos" w:hAnsi="Aptos" w:eastAsia="Aptos" w:cs="Aptos"/>
          <w:sz w:val="22"/>
          <w:szCs w:val="22"/>
          <w:lang w:val="en-US"/>
        </w:rPr>
        <w:t xml:space="preserve">One of the products of MBCs in use today is mycelium-based leather (MBL). Research has shown that the order of </w:t>
      </w:r>
      <w:proofErr w:type="spellStart"/>
      <w:r w:rsidRPr="7570BEB0">
        <w:rPr>
          <w:rFonts w:ascii="Aptos" w:hAnsi="Aptos" w:eastAsia="Aptos" w:cs="Aptos"/>
          <w:sz w:val="22"/>
          <w:szCs w:val="22"/>
          <w:lang w:val="en-US"/>
        </w:rPr>
        <w:t>polyporales</w:t>
      </w:r>
      <w:proofErr w:type="spellEnd"/>
      <w:r w:rsidRPr="7570BEB0">
        <w:rPr>
          <w:rFonts w:ascii="Aptos" w:hAnsi="Aptos" w:eastAsia="Aptos" w:cs="Aptos"/>
          <w:sz w:val="22"/>
          <w:szCs w:val="22"/>
          <w:lang w:val="en-US"/>
        </w:rPr>
        <w:t xml:space="preserve"> fungi, specifically the </w:t>
      </w:r>
      <w:proofErr w:type="spellStart"/>
      <w:r w:rsidRPr="7570BEB0">
        <w:rPr>
          <w:rFonts w:ascii="Aptos" w:hAnsi="Aptos" w:eastAsia="Aptos" w:cs="Aptos"/>
          <w:sz w:val="22"/>
          <w:szCs w:val="22"/>
          <w:lang w:val="en-US"/>
        </w:rPr>
        <w:t>fomitella</w:t>
      </w:r>
      <w:proofErr w:type="spellEnd"/>
      <w:r w:rsidRPr="7570BEB0">
        <w:rPr>
          <w:rFonts w:ascii="Aptos" w:hAnsi="Aptos" w:eastAsia="Aptos" w:cs="Aptos"/>
          <w:sz w:val="22"/>
          <w:szCs w:val="22"/>
          <w:lang w:val="en-US"/>
        </w:rPr>
        <w:t xml:space="preserve"> </w:t>
      </w:r>
      <w:proofErr w:type="spellStart"/>
      <w:r w:rsidRPr="7570BEB0">
        <w:rPr>
          <w:rFonts w:ascii="Aptos" w:hAnsi="Aptos" w:eastAsia="Aptos" w:cs="Aptos"/>
          <w:sz w:val="22"/>
          <w:szCs w:val="22"/>
          <w:lang w:val="en-US"/>
        </w:rPr>
        <w:t>fraxinea</w:t>
      </w:r>
      <w:proofErr w:type="spellEnd"/>
      <w:r w:rsidRPr="7570BEB0">
        <w:rPr>
          <w:rFonts w:ascii="Aptos" w:hAnsi="Aptos" w:eastAsia="Aptos" w:cs="Aptos"/>
          <w:sz w:val="22"/>
          <w:szCs w:val="22"/>
          <w:lang w:val="en-US"/>
        </w:rPr>
        <w:t xml:space="preserve">, in combination with a substrate made of sawdust and rice bran, is best suitable </w:t>
      </w:r>
      <w:proofErr w:type="gramStart"/>
      <w:r w:rsidRPr="7570BEB0">
        <w:rPr>
          <w:rFonts w:ascii="Aptos" w:hAnsi="Aptos" w:eastAsia="Aptos" w:cs="Aptos"/>
          <w:sz w:val="22"/>
          <w:szCs w:val="22"/>
          <w:lang w:val="en-US"/>
        </w:rPr>
        <w:t>for the production of</w:t>
      </w:r>
      <w:proofErr w:type="gramEnd"/>
      <w:r w:rsidRPr="7570BEB0">
        <w:rPr>
          <w:rFonts w:ascii="Aptos" w:hAnsi="Aptos" w:eastAsia="Aptos" w:cs="Aptos"/>
          <w:sz w:val="22"/>
          <w:szCs w:val="22"/>
          <w:lang w:val="en-US"/>
        </w:rPr>
        <w:t xml:space="preserve"> MBL (Raman et al., 2022). After harvesting, the composites are plasticized (with a biodegradable </w:t>
      </w:r>
      <w:proofErr w:type="gramStart"/>
      <w:r w:rsidRPr="7570BEB0">
        <w:rPr>
          <w:rFonts w:ascii="Aptos" w:hAnsi="Aptos" w:eastAsia="Aptos" w:cs="Aptos"/>
          <w:sz w:val="22"/>
          <w:szCs w:val="22"/>
          <w:lang w:val="en-US"/>
        </w:rPr>
        <w:t>mixture)  and</w:t>
      </w:r>
      <w:proofErr w:type="gramEnd"/>
      <w:r w:rsidRPr="7570BEB0">
        <w:rPr>
          <w:rFonts w:ascii="Aptos" w:hAnsi="Aptos" w:eastAsia="Aptos" w:cs="Aptos"/>
          <w:sz w:val="22"/>
          <w:szCs w:val="22"/>
          <w:lang w:val="en-US"/>
        </w:rPr>
        <w:t xml:space="preserve"> hot pressed making a leather like material. These processes increase the tensile strength, elongation percentage and </w:t>
      </w:r>
      <w:proofErr w:type="gramStart"/>
      <w:r w:rsidRPr="7570BEB0">
        <w:rPr>
          <w:rFonts w:ascii="Aptos" w:hAnsi="Aptos" w:eastAsia="Aptos" w:cs="Aptos"/>
          <w:sz w:val="22"/>
          <w:szCs w:val="22"/>
          <w:lang w:val="en-US"/>
        </w:rPr>
        <w:t>reduces</w:t>
      </w:r>
      <w:proofErr w:type="gramEnd"/>
      <w:r w:rsidRPr="7570BEB0">
        <w:rPr>
          <w:rFonts w:ascii="Aptos" w:hAnsi="Aptos" w:eastAsia="Aptos" w:cs="Aptos"/>
          <w:sz w:val="22"/>
          <w:szCs w:val="22"/>
          <w:lang w:val="en-US"/>
        </w:rPr>
        <w:t xml:space="preserve"> the water absorption. MBL has a mean tensile strength of 8.49 MPA, can elongate up to 58.86 % and has a water contact angle of up to 129.63°, making it hydrophobic </w:t>
      </w:r>
      <w:r w:rsidRPr="7570BEB0">
        <w:rPr>
          <w:rFonts w:ascii="Aptos" w:hAnsi="Aptos" w:eastAsia="Aptos" w:cs="Aptos"/>
          <w:sz w:val="22"/>
          <w:szCs w:val="22"/>
          <w:lang w:val="en-GB"/>
        </w:rPr>
        <w:t>(Raman et al., 2022)</w:t>
      </w:r>
      <w:r w:rsidRPr="7570BEB0">
        <w:rPr>
          <w:rFonts w:ascii="Aptos" w:hAnsi="Aptos" w:eastAsia="Aptos" w:cs="Aptos"/>
          <w:sz w:val="22"/>
          <w:szCs w:val="22"/>
          <w:lang w:val="en-US"/>
        </w:rPr>
        <w:t xml:space="preserve">. </w:t>
      </w:r>
    </w:p>
    <w:p w:rsidRPr="00432071" w:rsidR="3FE95E87" w:rsidP="7570BEB0" w:rsidRDefault="3FE95E87" w14:paraId="1C1BDB7D" w14:textId="210228E4">
      <w:pPr>
        <w:spacing w:line="257" w:lineRule="auto"/>
        <w:rPr>
          <w:rFonts w:asciiTheme="majorHAnsi" w:hAnsiTheme="majorHAnsi" w:eastAsiaTheme="majorEastAsia" w:cstheme="majorBidi"/>
          <w:color w:val="0F4761" w:themeColor="accent1" w:themeShade="BF"/>
          <w:sz w:val="32"/>
          <w:szCs w:val="32"/>
          <w:lang w:val="en-US"/>
        </w:rPr>
      </w:pPr>
      <w:r w:rsidRPr="00432071">
        <w:rPr>
          <w:rFonts w:asciiTheme="majorHAnsi" w:hAnsiTheme="majorHAnsi" w:eastAsiaTheme="majorEastAsia" w:cstheme="majorBidi"/>
          <w:color w:val="0F4761" w:themeColor="accent1" w:themeShade="BF"/>
          <w:sz w:val="32"/>
          <w:szCs w:val="32"/>
          <w:lang w:val="en-US"/>
        </w:rPr>
        <w:t xml:space="preserve">2.3 Biodegradability </w:t>
      </w:r>
    </w:p>
    <w:p w:rsidR="3FE95E87" w:rsidP="7570BEB0" w:rsidRDefault="3FE95E87" w14:paraId="47DA0F65" w14:textId="4162CCF2">
      <w:pPr>
        <w:spacing w:line="257" w:lineRule="auto"/>
        <w:rPr>
          <w:rFonts w:ascii="Aptos" w:hAnsi="Aptos" w:eastAsia="Aptos" w:cs="Aptos"/>
          <w:sz w:val="22"/>
          <w:szCs w:val="22"/>
          <w:lang w:val="en-US"/>
        </w:rPr>
      </w:pPr>
      <w:r w:rsidRPr="7570BEB0">
        <w:rPr>
          <w:rFonts w:ascii="Aptos" w:hAnsi="Aptos" w:eastAsia="Aptos" w:cs="Aptos"/>
          <w:sz w:val="22"/>
          <w:szCs w:val="22"/>
          <w:lang w:val="en-US"/>
        </w:rPr>
        <w:t xml:space="preserve">Depending on the used fungi and substrate, the duration of the biodegradation can vary. For </w:t>
      </w:r>
      <w:proofErr w:type="gramStart"/>
      <w:r w:rsidRPr="7570BEB0">
        <w:rPr>
          <w:rFonts w:ascii="Aptos" w:hAnsi="Aptos" w:eastAsia="Aptos" w:cs="Aptos"/>
          <w:sz w:val="22"/>
          <w:szCs w:val="22"/>
          <w:lang w:val="en-US"/>
        </w:rPr>
        <w:t>example</w:t>
      </w:r>
      <w:proofErr w:type="gramEnd"/>
      <w:r w:rsidRPr="7570BEB0">
        <w:rPr>
          <w:rFonts w:ascii="Aptos" w:hAnsi="Aptos" w:eastAsia="Aptos" w:cs="Aptos"/>
          <w:sz w:val="22"/>
          <w:szCs w:val="22"/>
          <w:lang w:val="en-US"/>
        </w:rPr>
        <w:t xml:space="preserve"> using Pleurotus ostreatus on a bamboo-based substrate coated with beeswax for increased water </w:t>
      </w:r>
      <w:proofErr w:type="gramStart"/>
      <w:r w:rsidRPr="7570BEB0">
        <w:rPr>
          <w:rFonts w:ascii="Aptos" w:hAnsi="Aptos" w:eastAsia="Aptos" w:cs="Aptos"/>
          <w:sz w:val="22"/>
          <w:szCs w:val="22"/>
          <w:lang w:val="en-US"/>
        </w:rPr>
        <w:t>resistance,</w:t>
      </w:r>
      <w:proofErr w:type="gramEnd"/>
      <w:r w:rsidRPr="7570BEB0">
        <w:rPr>
          <w:rFonts w:ascii="Aptos" w:hAnsi="Aptos" w:eastAsia="Aptos" w:cs="Aptos"/>
          <w:sz w:val="22"/>
          <w:szCs w:val="22"/>
          <w:lang w:val="en-US"/>
        </w:rPr>
        <w:t xml:space="preserve"> shows a mass reduction of 64.13% after two months. (Gan et al., 2022). </w:t>
      </w:r>
      <w:proofErr w:type="gramStart"/>
      <w:r w:rsidRPr="7570BEB0">
        <w:rPr>
          <w:rFonts w:ascii="Aptos" w:hAnsi="Aptos" w:eastAsia="Aptos" w:cs="Aptos"/>
          <w:sz w:val="22"/>
          <w:szCs w:val="22"/>
          <w:lang w:val="en-US"/>
        </w:rPr>
        <w:t>However</w:t>
      </w:r>
      <w:proofErr w:type="gramEnd"/>
      <w:r w:rsidRPr="7570BEB0">
        <w:rPr>
          <w:rFonts w:ascii="Aptos" w:hAnsi="Aptos" w:eastAsia="Aptos" w:cs="Aptos"/>
          <w:sz w:val="22"/>
          <w:szCs w:val="22"/>
          <w:lang w:val="en-US"/>
        </w:rPr>
        <w:t xml:space="preserve"> due to insufficient research done on biodegradability of other </w:t>
      </w:r>
      <w:proofErr w:type="gramStart"/>
      <w:r w:rsidRPr="7570BEB0">
        <w:rPr>
          <w:rFonts w:ascii="Aptos" w:hAnsi="Aptos" w:eastAsia="Aptos" w:cs="Aptos"/>
          <w:sz w:val="22"/>
          <w:szCs w:val="22"/>
          <w:lang w:val="en-US"/>
        </w:rPr>
        <w:t>MBCs</w:t>
      </w:r>
      <w:proofErr w:type="gramEnd"/>
      <w:r w:rsidRPr="7570BEB0">
        <w:rPr>
          <w:rFonts w:ascii="Aptos" w:hAnsi="Aptos" w:eastAsia="Aptos" w:cs="Aptos"/>
          <w:sz w:val="22"/>
          <w:szCs w:val="22"/>
          <w:lang w:val="en-US"/>
        </w:rPr>
        <w:t xml:space="preserve"> no definite information can be given on the biodegradability of class sharing fungi like </w:t>
      </w:r>
      <w:proofErr w:type="spellStart"/>
      <w:r w:rsidRPr="7570BEB0">
        <w:rPr>
          <w:rFonts w:ascii="Aptos" w:hAnsi="Aptos" w:eastAsia="Aptos" w:cs="Aptos"/>
          <w:sz w:val="22"/>
          <w:szCs w:val="22"/>
          <w:lang w:val="en-US"/>
        </w:rPr>
        <w:t>polyporales</w:t>
      </w:r>
      <w:proofErr w:type="spellEnd"/>
      <w:r w:rsidRPr="7570BEB0">
        <w:rPr>
          <w:rFonts w:ascii="Aptos" w:hAnsi="Aptos" w:eastAsia="Aptos" w:cs="Aptos"/>
          <w:sz w:val="22"/>
          <w:szCs w:val="22"/>
          <w:lang w:val="en-US"/>
        </w:rPr>
        <w:t xml:space="preserve">. </w:t>
      </w:r>
      <w:r w:rsidRPr="00432071">
        <w:rPr>
          <w:lang w:val="en-GB"/>
        </w:rPr>
        <w:br/>
      </w:r>
      <w:r w:rsidRPr="00432071">
        <w:rPr>
          <w:lang w:val="en-GB"/>
        </w:rPr>
        <w:br/>
      </w:r>
    </w:p>
    <w:p w:rsidR="3FE95E87" w:rsidP="7570BEB0" w:rsidRDefault="3FE95E87" w14:paraId="1A9142F1" w14:textId="28ACEADE">
      <w:pPr>
        <w:spacing w:line="257" w:lineRule="auto"/>
      </w:pPr>
      <w:proofErr w:type="spellStart"/>
      <w:r w:rsidRPr="7570BEB0">
        <w:rPr>
          <w:rFonts w:ascii="Aptos" w:hAnsi="Aptos" w:eastAsia="Aptos" w:cs="Aptos"/>
          <w:sz w:val="22"/>
          <w:szCs w:val="22"/>
          <w:lang w:val="de-CH"/>
        </w:rPr>
        <w:t>Amziane</w:t>
      </w:r>
      <w:proofErr w:type="spellEnd"/>
      <w:r w:rsidRPr="7570BEB0">
        <w:rPr>
          <w:rFonts w:ascii="Aptos" w:hAnsi="Aptos" w:eastAsia="Aptos" w:cs="Aptos"/>
          <w:sz w:val="22"/>
          <w:szCs w:val="22"/>
          <w:lang w:val="de-CH"/>
        </w:rPr>
        <w:t xml:space="preserve">, S., Merta, I., &amp; Page, J. (Hrsg.). </w:t>
      </w:r>
      <w:r w:rsidRPr="7570BEB0">
        <w:rPr>
          <w:rFonts w:ascii="Aptos" w:hAnsi="Aptos" w:eastAsia="Aptos" w:cs="Aptos"/>
          <w:sz w:val="22"/>
          <w:szCs w:val="22"/>
          <w:lang w:val="en-US"/>
        </w:rPr>
        <w:t xml:space="preserve">(2023). </w:t>
      </w:r>
      <w:r w:rsidRPr="7570BEB0">
        <w:rPr>
          <w:rFonts w:ascii="Aptos" w:hAnsi="Aptos" w:eastAsia="Aptos" w:cs="Aptos"/>
          <w:i/>
          <w:iCs/>
          <w:sz w:val="22"/>
          <w:szCs w:val="22"/>
          <w:lang w:val="en-US"/>
        </w:rPr>
        <w:t>Bio-based building materials: Proceedings of ICBBM 2023</w:t>
      </w:r>
      <w:r w:rsidRPr="7570BEB0">
        <w:rPr>
          <w:rFonts w:ascii="Aptos" w:hAnsi="Aptos" w:eastAsia="Aptos" w:cs="Aptos"/>
          <w:sz w:val="22"/>
          <w:szCs w:val="22"/>
          <w:lang w:val="en-US"/>
        </w:rPr>
        <w:t xml:space="preserve">. </w:t>
      </w:r>
      <w:r w:rsidRPr="00432071">
        <w:rPr>
          <w:rFonts w:ascii="Aptos" w:hAnsi="Aptos" w:eastAsia="Aptos" w:cs="Aptos"/>
          <w:sz w:val="22"/>
          <w:szCs w:val="22"/>
          <w:lang w:val="de-CH"/>
        </w:rPr>
        <w:t>Springer.</w:t>
      </w:r>
    </w:p>
    <w:p w:rsidRPr="00432071" w:rsidR="3FE95E87" w:rsidP="7570BEB0" w:rsidRDefault="3FE95E87" w14:paraId="7D2AD438" w14:textId="70563D27">
      <w:pPr>
        <w:spacing w:line="257" w:lineRule="auto"/>
        <w:rPr>
          <w:lang w:val="en-GB"/>
        </w:rPr>
      </w:pPr>
      <w:r w:rsidRPr="00432071">
        <w:rPr>
          <w:rFonts w:ascii="Aptos" w:hAnsi="Aptos" w:eastAsia="Aptos" w:cs="Aptos"/>
          <w:sz w:val="22"/>
          <w:szCs w:val="22"/>
          <w:lang w:val="de-CH"/>
        </w:rPr>
        <w:t xml:space="preserve">Gan, J. K., </w:t>
      </w:r>
      <w:proofErr w:type="spellStart"/>
      <w:r w:rsidRPr="00432071">
        <w:rPr>
          <w:rFonts w:ascii="Aptos" w:hAnsi="Aptos" w:eastAsia="Aptos" w:cs="Aptos"/>
          <w:sz w:val="22"/>
          <w:szCs w:val="22"/>
          <w:lang w:val="de-CH"/>
        </w:rPr>
        <w:t>Soh</w:t>
      </w:r>
      <w:proofErr w:type="spellEnd"/>
      <w:r w:rsidRPr="00432071">
        <w:rPr>
          <w:rFonts w:ascii="Aptos" w:hAnsi="Aptos" w:eastAsia="Aptos" w:cs="Aptos"/>
          <w:sz w:val="22"/>
          <w:szCs w:val="22"/>
          <w:lang w:val="de-CH"/>
        </w:rPr>
        <w:t xml:space="preserve">, E., </w:t>
      </w:r>
      <w:proofErr w:type="spellStart"/>
      <w:r w:rsidRPr="00432071">
        <w:rPr>
          <w:rFonts w:ascii="Aptos" w:hAnsi="Aptos" w:eastAsia="Aptos" w:cs="Aptos"/>
          <w:sz w:val="22"/>
          <w:szCs w:val="22"/>
          <w:lang w:val="de-CH"/>
        </w:rPr>
        <w:t>Saeidi</w:t>
      </w:r>
      <w:proofErr w:type="spellEnd"/>
      <w:r w:rsidRPr="00432071">
        <w:rPr>
          <w:rFonts w:ascii="Aptos" w:hAnsi="Aptos" w:eastAsia="Aptos" w:cs="Aptos"/>
          <w:sz w:val="22"/>
          <w:szCs w:val="22"/>
          <w:lang w:val="de-CH"/>
        </w:rPr>
        <w:t xml:space="preserve">, N., </w:t>
      </w:r>
      <w:proofErr w:type="spellStart"/>
      <w:r w:rsidRPr="00432071">
        <w:rPr>
          <w:rFonts w:ascii="Aptos" w:hAnsi="Aptos" w:eastAsia="Aptos" w:cs="Aptos"/>
          <w:sz w:val="22"/>
          <w:szCs w:val="22"/>
          <w:lang w:val="de-CH"/>
        </w:rPr>
        <w:t>Javadian</w:t>
      </w:r>
      <w:proofErr w:type="spellEnd"/>
      <w:r w:rsidRPr="00432071">
        <w:rPr>
          <w:rFonts w:ascii="Aptos" w:hAnsi="Aptos" w:eastAsia="Aptos" w:cs="Aptos"/>
          <w:sz w:val="22"/>
          <w:szCs w:val="22"/>
          <w:lang w:val="de-CH"/>
        </w:rPr>
        <w:t xml:space="preserve">, A., Hebel, D. E., &amp; Le Ferrand, H. (2022). </w:t>
      </w:r>
      <w:r w:rsidRPr="7570BEB0">
        <w:rPr>
          <w:rFonts w:ascii="Aptos" w:hAnsi="Aptos" w:eastAsia="Aptos" w:cs="Aptos"/>
          <w:i/>
          <w:iCs/>
          <w:sz w:val="22"/>
          <w:szCs w:val="22"/>
          <w:lang w:val="en-US"/>
        </w:rPr>
        <w:t xml:space="preserve">Temporal characterization of </w:t>
      </w:r>
      <w:proofErr w:type="gramStart"/>
      <w:r w:rsidRPr="7570BEB0">
        <w:rPr>
          <w:rFonts w:ascii="Aptos" w:hAnsi="Aptos" w:eastAsia="Aptos" w:cs="Aptos"/>
          <w:i/>
          <w:iCs/>
          <w:sz w:val="22"/>
          <w:szCs w:val="22"/>
          <w:lang w:val="en-US"/>
        </w:rPr>
        <w:t>biocycles</w:t>
      </w:r>
      <w:proofErr w:type="gramEnd"/>
      <w:r w:rsidRPr="7570BEB0">
        <w:rPr>
          <w:rFonts w:ascii="Aptos" w:hAnsi="Aptos" w:eastAsia="Aptos" w:cs="Aptos"/>
          <w:i/>
          <w:iCs/>
          <w:sz w:val="22"/>
          <w:szCs w:val="22"/>
          <w:lang w:val="en-US"/>
        </w:rPr>
        <w:t xml:space="preserve"> of mycelium-bound composites made from bamboo and Pleurotus ostreatus for indoor usage.</w:t>
      </w:r>
      <w:r w:rsidRPr="7570BEB0">
        <w:rPr>
          <w:rFonts w:ascii="Aptos" w:hAnsi="Aptos" w:eastAsia="Aptos" w:cs="Aptos"/>
          <w:sz w:val="22"/>
          <w:szCs w:val="22"/>
          <w:lang w:val="en-US"/>
        </w:rPr>
        <w:t xml:space="preserve"> Scientific Reports, </w:t>
      </w:r>
      <w:r w:rsidRPr="7570BEB0">
        <w:rPr>
          <w:rFonts w:ascii="Aptos" w:hAnsi="Aptos" w:eastAsia="Aptos" w:cs="Aptos"/>
          <w:i/>
          <w:iCs/>
          <w:sz w:val="22"/>
          <w:szCs w:val="22"/>
          <w:lang w:val="en-US"/>
        </w:rPr>
        <w:t>12</w:t>
      </w:r>
      <w:r w:rsidRPr="7570BEB0">
        <w:rPr>
          <w:rFonts w:ascii="Aptos" w:hAnsi="Aptos" w:eastAsia="Aptos" w:cs="Aptos"/>
          <w:sz w:val="22"/>
          <w:szCs w:val="22"/>
          <w:lang w:val="en-US"/>
        </w:rPr>
        <w:t xml:space="preserve">(1), 19362. </w:t>
      </w:r>
      <w:hyperlink r:id="rId7">
        <w:r w:rsidRPr="7570BEB0">
          <w:rPr>
            <w:rStyle w:val="Hyperlink"/>
            <w:rFonts w:ascii="Aptos" w:hAnsi="Aptos" w:eastAsia="Aptos" w:cs="Aptos"/>
            <w:sz w:val="22"/>
            <w:szCs w:val="22"/>
            <w:lang w:val="en-US"/>
          </w:rPr>
          <w:t>https://doi.org/10.1038/s41598-022-24070-3</w:t>
        </w:r>
      </w:hyperlink>
    </w:p>
    <w:p w:rsidR="3FE95E87" w:rsidP="7570BEB0" w:rsidRDefault="3FE95E87" w14:paraId="56E79F2A" w14:textId="05FBDCD0">
      <w:pPr>
        <w:spacing w:line="257" w:lineRule="auto"/>
      </w:pPr>
      <w:r w:rsidRPr="7570BEB0">
        <w:rPr>
          <w:rFonts w:ascii="Aptos" w:hAnsi="Aptos" w:eastAsia="Aptos" w:cs="Aptos"/>
          <w:sz w:val="22"/>
          <w:szCs w:val="22"/>
          <w:lang w:val="en-US"/>
        </w:rPr>
        <w:t xml:space="preserve">Raman, J., Kim, D.-S., Kim, H.-S., Oh, D.-S., &amp; Shin, H.-J. (2022). </w:t>
      </w:r>
      <w:proofErr w:type="spellStart"/>
      <w:r w:rsidRPr="7570BEB0">
        <w:rPr>
          <w:rFonts w:ascii="Aptos" w:hAnsi="Aptos" w:eastAsia="Aptos" w:cs="Aptos"/>
          <w:i/>
          <w:iCs/>
          <w:sz w:val="22"/>
          <w:szCs w:val="22"/>
          <w:lang w:val="en-US"/>
        </w:rPr>
        <w:t>Mycofabrication</w:t>
      </w:r>
      <w:proofErr w:type="spellEnd"/>
      <w:r w:rsidRPr="7570BEB0">
        <w:rPr>
          <w:rFonts w:ascii="Aptos" w:hAnsi="Aptos" w:eastAsia="Aptos" w:cs="Aptos"/>
          <w:i/>
          <w:iCs/>
          <w:sz w:val="22"/>
          <w:szCs w:val="22"/>
          <w:lang w:val="en-US"/>
        </w:rPr>
        <w:t xml:space="preserve"> of Mycelium-Based Leather from Brown-Rot Fungi.</w:t>
      </w:r>
      <w:r w:rsidRPr="7570BEB0">
        <w:rPr>
          <w:rFonts w:ascii="Aptos" w:hAnsi="Aptos" w:eastAsia="Aptos" w:cs="Aptos"/>
          <w:sz w:val="22"/>
          <w:szCs w:val="22"/>
          <w:lang w:val="en-US"/>
        </w:rPr>
        <w:t xml:space="preserve"> Journal of Fungi, </w:t>
      </w:r>
      <w:r w:rsidRPr="7570BEB0">
        <w:rPr>
          <w:rFonts w:ascii="Aptos" w:hAnsi="Aptos" w:eastAsia="Aptos" w:cs="Aptos"/>
          <w:i/>
          <w:iCs/>
          <w:sz w:val="22"/>
          <w:szCs w:val="22"/>
          <w:lang w:val="en-US"/>
        </w:rPr>
        <w:t>8</w:t>
      </w:r>
      <w:r w:rsidRPr="7570BEB0">
        <w:rPr>
          <w:rFonts w:ascii="Aptos" w:hAnsi="Aptos" w:eastAsia="Aptos" w:cs="Aptos"/>
          <w:sz w:val="22"/>
          <w:szCs w:val="22"/>
          <w:lang w:val="en-US"/>
        </w:rPr>
        <w:t xml:space="preserve">(3), 317. </w:t>
      </w:r>
      <w:hyperlink r:id="rId8">
        <w:r w:rsidRPr="7570BEB0">
          <w:rPr>
            <w:rStyle w:val="Hyperlink"/>
            <w:rFonts w:ascii="Aptos" w:hAnsi="Aptos" w:eastAsia="Aptos" w:cs="Aptos"/>
            <w:sz w:val="22"/>
            <w:szCs w:val="22"/>
            <w:lang w:val="en-US"/>
          </w:rPr>
          <w:t>https://doi.org/10.3390/jof8030317</w:t>
        </w:r>
      </w:hyperlink>
    </w:p>
    <w:p w:rsidR="7570BEB0" w:rsidP="7570BEB0" w:rsidRDefault="7570BEB0" w14:paraId="247B9407" w14:textId="5945AD4C"/>
    <w:p w:rsidR="7570BEB0" w:rsidP="7570BEB0" w:rsidRDefault="7570BEB0" w14:paraId="0DE0FAF4" w14:textId="6F7F6B27"/>
    <w:p w:rsidRPr="006E1FFA" w:rsidR="006E1FFA" w:rsidP="006E1FFA" w:rsidRDefault="00364421" w14:paraId="19F217DF" w14:textId="1E0EF30C">
      <w:pPr>
        <w:pStyle w:val="berschrift1"/>
      </w:pPr>
      <w:proofErr w:type="spellStart"/>
      <w:r>
        <w:t>Structure</w:t>
      </w:r>
      <w:proofErr w:type="spellEnd"/>
      <w:r>
        <w:t xml:space="preserve"> and Setup</w:t>
      </w:r>
    </w:p>
    <w:p w:rsidRPr="00536B1F" w:rsidR="00364421" w:rsidP="00364421" w:rsidRDefault="006E1FFA" w14:paraId="5ACC9B04" w14:textId="3CF9A42F">
      <w:pPr>
        <w:rPr>
          <w:lang w:val="en-US"/>
        </w:rPr>
      </w:pPr>
      <w:r w:rsidRPr="006E1FFA">
        <w:rPr>
          <w:lang w:val="en-US"/>
        </w:rPr>
        <w:t>There are several construction options available for tents. To determine the most suitable option for our purposes, this section evaluates the advantages and disadvantages of the most common tent designs. Hilleberg, a manufacturer of high-</w:t>
      </w:r>
      <w:r w:rsidRPr="006E1FFA">
        <w:rPr>
          <w:lang w:val="en-US"/>
        </w:rPr>
        <w:lastRenderedPageBreak/>
        <w:t>quality expedition tents, prioritizes ease of use, which aligns with the criteria important for our product. Therefore, their approach to tent construction serves as a relevant reference for this analysis. Hilleberg categorizes its tents by label, with the Yellow Label being the most applicable to our needs, as these tents are designed for use during snow-free months and in protected environments, or in warmer climates (Hilleberg, accessed October 12, 2024).</w:t>
      </w:r>
      <w:r>
        <w:rPr>
          <w:lang w:val="en-US"/>
        </w:rPr>
        <w:t xml:space="preserve"> </w:t>
      </w:r>
      <w:hyperlink w:history="1" r:id="rId9">
        <w:r w:rsidRPr="001D6BD8">
          <w:rPr>
            <w:rStyle w:val="Hyperlink"/>
            <w:lang w:val="en-US"/>
          </w:rPr>
          <w:t>https://hilleberg.com/eng/discover/our-label-system</w:t>
        </w:r>
      </w:hyperlink>
      <w:r w:rsidR="00FE5A24">
        <w:rPr>
          <w:lang w:val="en-US"/>
        </w:rPr>
        <w:t xml:space="preserve"> </w:t>
      </w:r>
      <w:r w:rsidR="00536B1F">
        <w:rPr>
          <w:lang w:val="en-US"/>
        </w:rPr>
        <w:br/>
      </w:r>
    </w:p>
    <w:p w:rsidRPr="00F73185" w:rsidR="00841BFC" w:rsidP="00841BFC" w:rsidRDefault="00736FC4" w14:paraId="41169036" w14:textId="0091FA2D">
      <w:pPr>
        <w:rPr>
          <w:lang w:val="en-US"/>
        </w:rPr>
      </w:pPr>
      <w:r>
        <w:rPr>
          <w:lang w:val="en-US"/>
        </w:rPr>
        <w:t xml:space="preserve">The two most common constructions are Tunnel Tents and Dome Tents. </w:t>
      </w:r>
      <w:r w:rsidR="000C491A">
        <w:rPr>
          <w:lang w:val="en-US"/>
        </w:rPr>
        <w:br/>
      </w:r>
      <w:r w:rsidRPr="00F73185" w:rsidR="00841BFC">
        <w:rPr>
          <w:lang w:val="en-US"/>
        </w:rPr>
        <w:t xml:space="preserve">Tunnel tents </w:t>
      </w:r>
      <w:r w:rsidR="000C491A">
        <w:rPr>
          <w:lang w:val="en-US"/>
        </w:rPr>
        <w:t xml:space="preserve">provide the best </w:t>
      </w:r>
      <w:r w:rsidRPr="00F73185" w:rsidR="00841BFC">
        <w:rPr>
          <w:lang w:val="en-US"/>
        </w:rPr>
        <w:t>space-to-weight ratio, making them ideal for mobile journeys where the tent is frequently set up and taken down. Their lighter overall design is advantageous for users who carry their gear during the day. However, tunnel tents are less stable in windy or snowy conditions and typically require pegging to remain upright.</w:t>
      </w:r>
    </w:p>
    <w:p w:rsidR="00171B15" w:rsidP="00841BFC" w:rsidRDefault="00841BFC" w14:paraId="4F86BC37" w14:textId="4E42789C">
      <w:pPr>
        <w:rPr>
          <w:lang w:val="en-US"/>
        </w:rPr>
      </w:pPr>
      <w:r w:rsidRPr="00841BFC">
        <w:rPr>
          <w:lang w:val="en-US"/>
        </w:rPr>
        <w:t xml:space="preserve">In contrast, dome tents offer greater stability, particularly in adverse weather conditions such as snow or high winds. They are better suited for base camp setups, where they can remain </w:t>
      </w:r>
      <w:proofErr w:type="gramStart"/>
      <w:r w:rsidRPr="00841BFC">
        <w:rPr>
          <w:lang w:val="en-US"/>
        </w:rPr>
        <w:t>stationary</w:t>
      </w:r>
      <w:proofErr w:type="gramEnd"/>
      <w:r w:rsidRPr="00841BFC">
        <w:rPr>
          <w:lang w:val="en-US"/>
        </w:rPr>
        <w:t xml:space="preserve"> for extended periods. Some dome tents are freestanding, which eliminates the need for pegging and makes them useful in terrains like rocky or gravelly soil. Despite these advantages, dome tents tend to be heavier and provide less space for the weight they add. </w:t>
      </w:r>
    </w:p>
    <w:p w:rsidR="00536B1F" w:rsidP="00841BFC" w:rsidRDefault="00171B15" w14:paraId="705A2F0A" w14:textId="5307C2D1">
      <w:pPr>
        <w:rPr>
          <w:lang w:val="en-US"/>
        </w:rPr>
      </w:pPr>
      <w:hyperlink w:history="1" r:id="rId10">
        <w:r w:rsidRPr="00171B15">
          <w:rPr>
            <w:rStyle w:val="Hyperlink"/>
            <w:lang w:val="en-US"/>
          </w:rPr>
          <w:t>https://hilleberg.com/eng/discover/choosing-the-right-tent</w:t>
        </w:r>
      </w:hyperlink>
      <w:r w:rsidRPr="00171B15">
        <w:rPr>
          <w:lang w:val="en-US"/>
        </w:rPr>
        <w:t xml:space="preserve"> (accessed </w:t>
      </w:r>
      <w:r>
        <w:rPr>
          <w:lang w:val="en-US"/>
        </w:rPr>
        <w:t xml:space="preserve">October 12, 2024) </w:t>
      </w:r>
    </w:p>
    <w:p w:rsidRPr="00171B15" w:rsidR="000C0B90" w:rsidP="00364421" w:rsidRDefault="00DB29AF" w14:paraId="305148D9" w14:textId="5A90EC0B">
      <w:pPr>
        <w:rPr>
          <w:lang w:val="en-US"/>
        </w:rPr>
      </w:pPr>
      <w:r w:rsidRPr="00DB29AF">
        <w:rPr>
          <w:lang w:val="en-US"/>
        </w:rPr>
        <w:t xml:space="preserve">In addition to tunnel and dome tents, instant tents represent another construction option that has gained popularity in recent years due to improvements in ease of setup. These tents combine features of both tunnel and dome designs, offering a balance between spaciousness and stability. Instant tents are particularly advantageous for users seeking quick and simple setup, often requiring minimal effort. However, they are generally not designed to withstand harsh environmental conditions such as strong winds or heavy snow, making them more suitable for mild weather and less extreme environments </w:t>
      </w:r>
      <w:r w:rsidR="00F86DA1">
        <w:rPr>
          <w:lang w:val="en-US"/>
        </w:rPr>
        <w:t xml:space="preserve"> </w:t>
      </w:r>
      <w:r w:rsidR="000C0B90">
        <w:rPr>
          <w:lang w:val="en-US"/>
        </w:rPr>
        <w:br/>
      </w:r>
      <w:r w:rsidRPr="00145C6F" w:rsidR="000C0B90">
        <w:rPr>
          <w:lang w:val="en-US"/>
        </w:rPr>
        <w:t>Outdoor Life. (</w:t>
      </w:r>
      <w:proofErr w:type="gramStart"/>
      <w:r w:rsidRPr="00145C6F" w:rsidR="000C0B90">
        <w:rPr>
          <w:lang w:val="en-US"/>
        </w:rPr>
        <w:t>May,</w:t>
      </w:r>
      <w:proofErr w:type="gramEnd"/>
      <w:r w:rsidRPr="00145C6F" w:rsidR="000C0B90">
        <w:rPr>
          <w:lang w:val="en-US"/>
        </w:rPr>
        <w:t xml:space="preserve"> 2024). </w:t>
      </w:r>
      <w:proofErr w:type="gramStart"/>
      <w:r w:rsidRPr="00145C6F" w:rsidR="000C0B90">
        <w:rPr>
          <w:lang w:val="en-US"/>
        </w:rPr>
        <w:t>The best instant tents of 2024,</w:t>
      </w:r>
      <w:proofErr w:type="gramEnd"/>
      <w:r w:rsidRPr="00145C6F" w:rsidR="000C0B90">
        <w:rPr>
          <w:lang w:val="en-US"/>
        </w:rPr>
        <w:t xml:space="preserve"> tested and reviewed. </w:t>
      </w:r>
      <w:hyperlink r:id="rId11">
        <w:r w:rsidRPr="00145C6F" w:rsidR="000C0B90">
          <w:rPr>
            <w:color w:val="0000FF"/>
            <w:lang w:val="en-US"/>
          </w:rPr>
          <w:t xml:space="preserve">https://www.outdoorlife.com/ </w:t>
        </w:r>
      </w:hyperlink>
      <w:hyperlink r:id="rId12">
        <w:r w:rsidRPr="00145C6F" w:rsidR="000C0B90">
          <w:rPr>
            <w:color w:val="0000FF"/>
            <w:lang w:val="en-US"/>
          </w:rPr>
          <w:t>gear/best-instant-tents/</w:t>
        </w:r>
      </w:hyperlink>
      <w:r w:rsidR="00F86DA1">
        <w:rPr>
          <w:lang w:val="en-US"/>
        </w:rPr>
        <w:t xml:space="preserve"> </w:t>
      </w:r>
    </w:p>
    <w:p w:rsidRPr="00171B15" w:rsidR="00A10097" w:rsidP="00364421" w:rsidRDefault="00A10097" w14:paraId="05284EC6" w14:textId="77777777">
      <w:pPr>
        <w:rPr>
          <w:lang w:val="en-US"/>
        </w:rPr>
      </w:pPr>
    </w:p>
    <w:p w:rsidR="00364421" w:rsidP="00364421" w:rsidRDefault="00364421" w14:paraId="6C5DE633" w14:textId="77777777">
      <w:pPr>
        <w:rPr>
          <w:lang w:val="en-US"/>
        </w:rPr>
      </w:pPr>
    </w:p>
    <w:p w:rsidR="00D745A3" w:rsidP="00364421" w:rsidRDefault="00D745A3" w14:paraId="18191B84" w14:textId="77777777">
      <w:pPr>
        <w:rPr>
          <w:lang w:val="en-US"/>
        </w:rPr>
      </w:pPr>
    </w:p>
    <w:p w:rsidRPr="00171B15" w:rsidR="00D745A3" w:rsidP="00364421" w:rsidRDefault="00D745A3" w14:paraId="614CF594" w14:textId="77777777">
      <w:pPr>
        <w:rPr>
          <w:lang w:val="en-US"/>
        </w:rPr>
      </w:pPr>
    </w:p>
    <w:p w:rsidR="00364421" w:rsidP="00364421" w:rsidRDefault="00364421" w14:paraId="03011346" w14:textId="07A7FF30">
      <w:pPr>
        <w:pStyle w:val="berschrift1"/>
      </w:pPr>
      <w:r>
        <w:lastRenderedPageBreak/>
        <w:t>Marketing</w:t>
      </w:r>
    </w:p>
    <w:p w:rsidRPr="0096574E" w:rsidR="00D745A3" w:rsidP="00D745A3" w:rsidRDefault="00D745A3" w14:paraId="47CC3D08" w14:textId="77777777">
      <w:pPr>
        <w:rPr>
          <w:lang w:val="en-US"/>
        </w:rPr>
      </w:pPr>
      <w:r w:rsidRPr="00145C6F">
        <w:rPr>
          <w:lang w:val="en-US"/>
        </w:rPr>
        <w:t>The analysis of the marketing of camping tents and outdoor equipment is based on the use of strategies leveraged to reach and engage consumers globally, in Europe and Switzerland. Nowadays, the use of social media is a key focus for product promotion and customer loyalty through targeted advertising and influencers</w:t>
      </w:r>
      <w:r>
        <w:rPr>
          <w:lang w:val="en-US"/>
        </w:rPr>
        <w:t>.</w:t>
      </w:r>
    </w:p>
    <w:p w:rsidR="00956BFC" w:rsidP="00956BFC" w:rsidRDefault="00D745A3" w14:paraId="06D14F95" w14:textId="5635DB25">
      <w:pPr>
        <w:pStyle w:val="berschrift2"/>
        <w:rPr>
          <w:lang w:val="en-US"/>
        </w:rPr>
      </w:pPr>
      <w:r>
        <w:rPr>
          <w:lang w:val="en-US"/>
        </w:rPr>
        <w:t>4.2</w:t>
      </w:r>
      <w:r w:rsidR="004D07B1">
        <w:rPr>
          <w:lang w:val="en-US"/>
        </w:rPr>
        <w:t>.1</w:t>
      </w:r>
      <w:r w:rsidR="00DE4AF8">
        <w:rPr>
          <w:lang w:val="en-US"/>
        </w:rPr>
        <w:t xml:space="preserve"> Worldwide </w:t>
      </w:r>
      <w:r w:rsidR="00956BFC">
        <w:rPr>
          <w:lang w:val="en-US"/>
        </w:rPr>
        <w:t>Market</w:t>
      </w:r>
    </w:p>
    <w:p w:rsidR="0045277A" w:rsidP="0045277A" w:rsidRDefault="00F80D18" w14:paraId="6B4A4818" w14:textId="77777777">
      <w:pPr>
        <w:spacing w:after="374"/>
        <w:ind w:left="-5" w:right="170"/>
        <w:rPr>
          <w:lang w:val="en-US"/>
        </w:rPr>
      </w:pPr>
      <w:r w:rsidRPr="00145C6F">
        <w:rPr>
          <w:lang w:val="en-US"/>
        </w:rPr>
        <w:t xml:space="preserve">In 2022, the global camping tent market reached a total value of USD 2.65 billion. The future of this market is positive; in fact, it is set to grow further to USD 4 billion by 2028. This </w:t>
      </w:r>
      <w:r>
        <w:rPr>
          <w:lang w:val="en-US"/>
        </w:rPr>
        <w:t xml:space="preserve">positive outlook </w:t>
      </w:r>
      <w:r w:rsidRPr="00145C6F">
        <w:rPr>
          <w:lang w:val="en-US"/>
        </w:rPr>
        <w:t>is possible due to the increase in outdoor recreation and nature tourism.</w:t>
      </w:r>
    </w:p>
    <w:p w:rsidRPr="0045277A" w:rsidR="001F5C34" w:rsidP="0045277A" w:rsidRDefault="001F5C34" w14:paraId="3E5007CF" w14:textId="7B1B8F02">
      <w:pPr>
        <w:spacing w:after="374"/>
        <w:ind w:left="-5" w:right="170"/>
        <w:rPr>
          <w:lang w:val="en-US"/>
        </w:rPr>
      </w:pPr>
      <w:r w:rsidRPr="003C3923">
        <w:rPr>
          <w:lang w:val="en-US"/>
        </w:rPr>
        <w:t>Expert Market Research. (</w:t>
      </w:r>
      <w:proofErr w:type="gramStart"/>
      <w:r w:rsidRPr="003C3923">
        <w:rPr>
          <w:lang w:val="en-US"/>
        </w:rPr>
        <w:t>October,</w:t>
      </w:r>
      <w:proofErr w:type="gramEnd"/>
      <w:r w:rsidRPr="003C3923">
        <w:rPr>
          <w:lang w:val="en-US"/>
        </w:rPr>
        <w:t xml:space="preserve"> 2023). Global camping tent market report and forecast 2023–2028. </w:t>
      </w:r>
      <w:hyperlink r:id="rId13">
        <w:r w:rsidRPr="003C3923">
          <w:rPr>
            <w:color w:val="0000FF"/>
          </w:rPr>
          <w:t>https:</w:t>
        </w:r>
      </w:hyperlink>
    </w:p>
    <w:p w:rsidRPr="001F5C34" w:rsidR="00F80D18" w:rsidP="001F5C34" w:rsidRDefault="001F5C34" w14:paraId="32BB0DA6" w14:textId="62796388">
      <w:pPr>
        <w:spacing w:after="374"/>
        <w:ind w:left="-5" w:right="170"/>
      </w:pPr>
      <w:hyperlink r:id="rId14">
        <w:r w:rsidRPr="003C3923">
          <w:rPr>
            <w:color w:val="0000FF"/>
          </w:rPr>
          <w:t>//www.marketresearch.com/Expert-Market-Research-v4220/Global-Camping-Tent-Forecast-35387212/</w:t>
        </w:r>
      </w:hyperlink>
    </w:p>
    <w:p w:rsidR="00006715" w:rsidP="00807C8D" w:rsidRDefault="00956BFC" w14:paraId="075F62FF" w14:textId="77777777">
      <w:pPr>
        <w:pStyle w:val="berschrift2"/>
        <w:rPr>
          <w:lang w:val="en-US"/>
        </w:rPr>
      </w:pPr>
      <w:r>
        <w:rPr>
          <w:lang w:val="en-US"/>
        </w:rPr>
        <w:t xml:space="preserve">4.2.2 </w:t>
      </w:r>
      <w:r w:rsidR="00807C8D">
        <w:rPr>
          <w:lang w:val="en-US"/>
        </w:rPr>
        <w:t>European Market</w:t>
      </w:r>
    </w:p>
    <w:p w:rsidRPr="00145C6F" w:rsidR="008466B3" w:rsidP="008466B3" w:rsidRDefault="008466B3" w14:paraId="2F472E3E" w14:textId="77777777">
      <w:pPr>
        <w:spacing w:after="349"/>
        <w:ind w:left="-5" w:right="170"/>
        <w:rPr>
          <w:lang w:val="en-US"/>
        </w:rPr>
      </w:pPr>
      <w:r w:rsidRPr="00145C6F">
        <w:rPr>
          <w:lang w:val="en-US"/>
        </w:rPr>
        <w:t>According to reported projections, by 2029 the European camping tent market will grow significantly, reaching a value of USD 1.50 billion. The analysis covers various product categories, materials, and capacities, highlighting the increasing demand for innovative and practical solutions in line with new camping trends.</w:t>
      </w:r>
    </w:p>
    <w:p w:rsidRPr="001F5C34" w:rsidR="001F5C34" w:rsidP="00DC19D2" w:rsidRDefault="00DC19D2" w14:paraId="3175CAE1" w14:textId="0CA5955B">
      <w:pPr>
        <w:ind w:left="-5" w:right="170"/>
        <w:rPr>
          <w:lang w:val="en-US"/>
        </w:rPr>
      </w:pPr>
      <w:proofErr w:type="spellStart"/>
      <w:r w:rsidRPr="003C3923">
        <w:rPr>
          <w:lang w:val="en-US"/>
        </w:rPr>
        <w:t>Arizton</w:t>
      </w:r>
      <w:proofErr w:type="spellEnd"/>
      <w:r w:rsidRPr="003C3923">
        <w:rPr>
          <w:lang w:val="en-US"/>
        </w:rPr>
        <w:t xml:space="preserve"> Advisory &amp; Intelligence. (</w:t>
      </w:r>
      <w:proofErr w:type="gramStart"/>
      <w:r w:rsidRPr="003C3923">
        <w:rPr>
          <w:lang w:val="en-US"/>
        </w:rPr>
        <w:t>May,</w:t>
      </w:r>
      <w:proofErr w:type="gramEnd"/>
      <w:r w:rsidRPr="003C3923">
        <w:rPr>
          <w:lang w:val="en-US"/>
        </w:rPr>
        <w:t xml:space="preserve"> 2024). Europe camping tents market - industry outlook and forecast 2024–2029. </w:t>
      </w:r>
      <w:hyperlink r:id="rId15">
        <w:r w:rsidRPr="003C3923">
          <w:rPr>
            <w:color w:val="0000FF"/>
            <w:lang w:val="en-US"/>
          </w:rPr>
          <w:t>https://www.arizton.com/market-reports/camping-tent-market-europe</w:t>
        </w:r>
      </w:hyperlink>
    </w:p>
    <w:p w:rsidR="00807C8D" w:rsidP="00807C8D" w:rsidRDefault="00807C8D" w14:paraId="13301BCF" w14:textId="716573DA">
      <w:pPr>
        <w:pStyle w:val="berschrift2"/>
        <w:rPr>
          <w:lang w:val="en-US"/>
        </w:rPr>
      </w:pPr>
      <w:r>
        <w:rPr>
          <w:lang w:val="en-US"/>
        </w:rPr>
        <w:t xml:space="preserve">Swiss </w:t>
      </w:r>
      <w:r w:rsidR="00367683">
        <w:rPr>
          <w:lang w:val="en-US"/>
        </w:rPr>
        <w:t xml:space="preserve">Market </w:t>
      </w:r>
    </w:p>
    <w:p w:rsidRPr="00145C6F" w:rsidR="00EF1E4E" w:rsidP="00EF1E4E" w:rsidRDefault="00EF1E4E" w14:paraId="17758D6F" w14:textId="77777777">
      <w:pPr>
        <w:spacing w:after="374"/>
        <w:ind w:left="-5" w:right="170"/>
        <w:rPr>
          <w:lang w:val="en-US"/>
        </w:rPr>
      </w:pPr>
      <w:r w:rsidRPr="00145C6F">
        <w:rPr>
          <w:lang w:val="en-US"/>
        </w:rPr>
        <w:t>The analysis of the camping tent market in Switzerland focuses on growth trends driven by increased outdoor activities and investment in sustainable materials. Changes in consumer preferences are also part of the analysis.</w:t>
      </w:r>
    </w:p>
    <w:p w:rsidRPr="00825DA8" w:rsidR="00DC19D2" w:rsidP="00825DA8" w:rsidRDefault="00825DA8" w14:paraId="1EB15EF5" w14:textId="1B6287FA">
      <w:pPr>
        <w:ind w:left="-5" w:right="170"/>
        <w:rPr>
          <w:lang w:val="en-US"/>
        </w:rPr>
      </w:pPr>
      <w:r w:rsidRPr="00145C6F">
        <w:rPr>
          <w:lang w:val="en-US"/>
        </w:rPr>
        <w:t>6Wresearch. (</w:t>
      </w:r>
      <w:proofErr w:type="gramStart"/>
      <w:r w:rsidRPr="00145C6F">
        <w:rPr>
          <w:lang w:val="en-US"/>
        </w:rPr>
        <w:t>November,</w:t>
      </w:r>
      <w:proofErr w:type="gramEnd"/>
      <w:r w:rsidRPr="00145C6F">
        <w:rPr>
          <w:lang w:val="en-US"/>
        </w:rPr>
        <w:t xml:space="preserve"> 2023). Switzerland camping tent market - industry outlook and forecast 2023–2030. </w:t>
      </w:r>
      <w:hyperlink r:id="rId16">
        <w:r w:rsidRPr="00145C6F">
          <w:rPr>
            <w:color w:val="0000FF"/>
            <w:lang w:val="en-US"/>
          </w:rPr>
          <w:t>https://www.6wresearch.com/industry-report/switzerland-camping-tent-market</w:t>
        </w:r>
      </w:hyperlink>
    </w:p>
    <w:p w:rsidRPr="00006715" w:rsidR="00006715" w:rsidP="00006715" w:rsidRDefault="00006715" w14:paraId="7A05EE71" w14:textId="24F08233">
      <w:pPr>
        <w:pStyle w:val="berschrift2"/>
        <w:rPr>
          <w:lang w:val="en-US"/>
        </w:rPr>
      </w:pPr>
      <w:r>
        <w:rPr>
          <w:lang w:val="en-US"/>
        </w:rPr>
        <w:t xml:space="preserve">4.2.3 </w:t>
      </w:r>
      <w:r w:rsidR="00FD2BDE">
        <w:rPr>
          <w:lang w:val="en-US"/>
        </w:rPr>
        <w:t xml:space="preserve">Marketing Strategies  </w:t>
      </w:r>
      <w:r w:rsidR="00FD2BDE">
        <w:rPr>
          <w:lang w:val="en-US"/>
        </w:rPr>
        <w:tab/>
      </w:r>
    </w:p>
    <w:p w:rsidR="009E128B" w:rsidP="009E128B" w:rsidRDefault="009E128B" w14:paraId="000E4F29" w14:textId="77777777">
      <w:pPr>
        <w:spacing w:after="349"/>
        <w:ind w:left="-5" w:right="170"/>
        <w:rPr>
          <w:lang w:val="en-US"/>
        </w:rPr>
      </w:pPr>
      <w:r w:rsidRPr="00145C6F">
        <w:rPr>
          <w:lang w:val="en-US"/>
        </w:rPr>
        <w:t xml:space="preserve">Key marketing strategies for outdoor brands are analyzed based on their impact on their audiences. In fact, content posted on social media is strongly considered, </w:t>
      </w:r>
      <w:r w:rsidRPr="00145C6F">
        <w:rPr>
          <w:lang w:val="en-US"/>
        </w:rPr>
        <w:lastRenderedPageBreak/>
        <w:t xml:space="preserve">facilitating one’s visibility through influencers, who play a key role </w:t>
      </w:r>
      <w:proofErr w:type="gramStart"/>
      <w:r w:rsidRPr="00145C6F">
        <w:rPr>
          <w:lang w:val="en-US"/>
        </w:rPr>
        <w:t>on</w:t>
      </w:r>
      <w:proofErr w:type="gramEnd"/>
      <w:r w:rsidRPr="00145C6F">
        <w:rPr>
          <w:lang w:val="en-US"/>
        </w:rPr>
        <w:t xml:space="preserve"> product promotion and customer loyalty.</w:t>
      </w:r>
    </w:p>
    <w:p w:rsidRPr="006A1A1F" w:rsidR="003862FD" w:rsidP="003862FD" w:rsidRDefault="003862FD" w14:paraId="389FEF4F" w14:textId="77777777">
      <w:pPr>
        <w:spacing w:after="349"/>
        <w:ind w:left="-5" w:right="170"/>
      </w:pPr>
      <w:r w:rsidRPr="00145C6F">
        <w:rPr>
          <w:lang w:val="en-US"/>
        </w:rPr>
        <w:t xml:space="preserve">Michigan </w:t>
      </w:r>
      <w:proofErr w:type="spellStart"/>
      <w:r w:rsidRPr="00145C6F">
        <w:rPr>
          <w:lang w:val="en-US"/>
        </w:rPr>
        <w:t>MITech</w:t>
      </w:r>
      <w:proofErr w:type="spellEnd"/>
      <w:r w:rsidRPr="00145C6F">
        <w:rPr>
          <w:lang w:val="en-US"/>
        </w:rPr>
        <w:t xml:space="preserve"> News. (</w:t>
      </w:r>
      <w:proofErr w:type="gramStart"/>
      <w:r w:rsidRPr="00145C6F">
        <w:rPr>
          <w:lang w:val="en-US"/>
        </w:rPr>
        <w:t>January,</w:t>
      </w:r>
      <w:proofErr w:type="gramEnd"/>
      <w:r w:rsidRPr="00145C6F">
        <w:rPr>
          <w:lang w:val="en-US"/>
        </w:rPr>
        <w:t xml:space="preserve"> 2024). Most important strategies to market your outdoor brand effectively. </w:t>
      </w:r>
      <w:hyperlink r:id="rId17">
        <w:r w:rsidRPr="007814FE">
          <w:rPr>
            <w:color w:val="0000FF"/>
          </w:rPr>
          <w:t>https://mitechnews.com/guest-columns/most-important-strategies-to-market-your-outdoor-brand-effectively/</w:t>
        </w:r>
      </w:hyperlink>
    </w:p>
    <w:p w:rsidRPr="003862FD" w:rsidR="00A07265" w:rsidP="7570BEB0" w:rsidRDefault="00A07265" w14:paraId="2E21E9BE" w14:textId="2004C1A0"/>
    <w:p w:rsidRPr="003862FD" w:rsidR="00A07265" w:rsidP="00A07265" w:rsidRDefault="00A07265" w14:paraId="32A01ADD" w14:textId="77777777"/>
    <w:p w:rsidRPr="00A07265" w:rsidR="00A07265" w:rsidP="00A07265" w:rsidRDefault="00A07265" w14:paraId="27A331FA" w14:textId="1D4F9284">
      <w:pPr>
        <w:pStyle w:val="berschrift1"/>
      </w:pPr>
      <w:proofErr w:type="spellStart"/>
      <w:r>
        <w:t>Safety</w:t>
      </w:r>
      <w:proofErr w:type="spellEnd"/>
    </w:p>
    <w:sectPr w:rsidRPr="00A07265" w:rsidR="00A07265">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40E9"/>
    <w:multiLevelType w:val="hybridMultilevel"/>
    <w:tmpl w:val="68A8629E"/>
    <w:lvl w:ilvl="0" w:tplc="46B26CD4">
      <w:start w:val="1"/>
      <w:numFmt w:val="decimal"/>
      <w:lvlText w:val="%1."/>
      <w:lvlJc w:val="left"/>
      <w:pPr>
        <w:ind w:left="720" w:hanging="360"/>
      </w:pPr>
      <w:rPr>
        <w:rFonts w:hint="default" w:ascii="Calibri" w:hAnsi="Calibri" w:cs="Calibr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EAB9B4"/>
    <w:multiLevelType w:val="multilevel"/>
    <w:tmpl w:val="14C06230"/>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0" w:hanging="180"/>
      </w:pPr>
      <w:rPr>
        <w:rFonts w:hint="default" w:ascii="Times New Roman" w:hAnsi="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7C1C83"/>
    <w:multiLevelType w:val="multilevel"/>
    <w:tmpl w:val="D1482CC4"/>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3141939">
    <w:abstractNumId w:val="1"/>
  </w:num>
  <w:num w:numId="2" w16cid:durableId="1334799704">
    <w:abstractNumId w:val="0"/>
  </w:num>
  <w:num w:numId="3" w16cid:durableId="1600791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67C"/>
    <w:rsid w:val="00006715"/>
    <w:rsid w:val="000C0B90"/>
    <w:rsid w:val="000C491A"/>
    <w:rsid w:val="000E4B01"/>
    <w:rsid w:val="00131E6A"/>
    <w:rsid w:val="0017078A"/>
    <w:rsid w:val="00171B15"/>
    <w:rsid w:val="001F5C34"/>
    <w:rsid w:val="001F7B20"/>
    <w:rsid w:val="002A0B7F"/>
    <w:rsid w:val="002A1269"/>
    <w:rsid w:val="002B1111"/>
    <w:rsid w:val="003424E7"/>
    <w:rsid w:val="003470ED"/>
    <w:rsid w:val="00364421"/>
    <w:rsid w:val="00367683"/>
    <w:rsid w:val="003862FD"/>
    <w:rsid w:val="003B2F17"/>
    <w:rsid w:val="004112F9"/>
    <w:rsid w:val="00432071"/>
    <w:rsid w:val="0045277A"/>
    <w:rsid w:val="004D07B1"/>
    <w:rsid w:val="004E4182"/>
    <w:rsid w:val="00536B1F"/>
    <w:rsid w:val="006160CF"/>
    <w:rsid w:val="00665A83"/>
    <w:rsid w:val="006E1FFA"/>
    <w:rsid w:val="00736FC4"/>
    <w:rsid w:val="00737A54"/>
    <w:rsid w:val="00750C9E"/>
    <w:rsid w:val="00765FC4"/>
    <w:rsid w:val="007C72C2"/>
    <w:rsid w:val="00807C8D"/>
    <w:rsid w:val="00825DA8"/>
    <w:rsid w:val="00832C0B"/>
    <w:rsid w:val="00841BFC"/>
    <w:rsid w:val="008466B3"/>
    <w:rsid w:val="00886BA4"/>
    <w:rsid w:val="008A7990"/>
    <w:rsid w:val="00944E38"/>
    <w:rsid w:val="00956BFC"/>
    <w:rsid w:val="009854CE"/>
    <w:rsid w:val="009E128B"/>
    <w:rsid w:val="009E71AA"/>
    <w:rsid w:val="00A07265"/>
    <w:rsid w:val="00A10097"/>
    <w:rsid w:val="00A85106"/>
    <w:rsid w:val="00AA13CB"/>
    <w:rsid w:val="00BB1A0F"/>
    <w:rsid w:val="00BE6C09"/>
    <w:rsid w:val="00C65E24"/>
    <w:rsid w:val="00CE4241"/>
    <w:rsid w:val="00D13596"/>
    <w:rsid w:val="00D3771F"/>
    <w:rsid w:val="00D53730"/>
    <w:rsid w:val="00D745A3"/>
    <w:rsid w:val="00DB29AF"/>
    <w:rsid w:val="00DC19D2"/>
    <w:rsid w:val="00DE4AF8"/>
    <w:rsid w:val="00E10D1D"/>
    <w:rsid w:val="00E80964"/>
    <w:rsid w:val="00EF1E4E"/>
    <w:rsid w:val="00F022CC"/>
    <w:rsid w:val="00F31061"/>
    <w:rsid w:val="00F71A85"/>
    <w:rsid w:val="00F73185"/>
    <w:rsid w:val="00F80D18"/>
    <w:rsid w:val="00F86DA1"/>
    <w:rsid w:val="00FD2BDE"/>
    <w:rsid w:val="00FE5A24"/>
    <w:rsid w:val="02AFE85E"/>
    <w:rsid w:val="03E4060E"/>
    <w:rsid w:val="04DAF081"/>
    <w:rsid w:val="05AE2B11"/>
    <w:rsid w:val="05F705AD"/>
    <w:rsid w:val="07135825"/>
    <w:rsid w:val="0788657F"/>
    <w:rsid w:val="0902278C"/>
    <w:rsid w:val="0C3273CD"/>
    <w:rsid w:val="0D62067C"/>
    <w:rsid w:val="0F6EE7B7"/>
    <w:rsid w:val="103BE259"/>
    <w:rsid w:val="10899BD8"/>
    <w:rsid w:val="12AE4171"/>
    <w:rsid w:val="13569B8B"/>
    <w:rsid w:val="13BB63D3"/>
    <w:rsid w:val="156C9BDA"/>
    <w:rsid w:val="15E4791F"/>
    <w:rsid w:val="16866AD1"/>
    <w:rsid w:val="16A026FC"/>
    <w:rsid w:val="178C26CD"/>
    <w:rsid w:val="17E9B75D"/>
    <w:rsid w:val="184CAFF2"/>
    <w:rsid w:val="19F8DC0A"/>
    <w:rsid w:val="1DB6C83E"/>
    <w:rsid w:val="1F4B65B9"/>
    <w:rsid w:val="206FEAB3"/>
    <w:rsid w:val="229BBCAA"/>
    <w:rsid w:val="2327BF40"/>
    <w:rsid w:val="266049E2"/>
    <w:rsid w:val="27B5186F"/>
    <w:rsid w:val="27EE44B6"/>
    <w:rsid w:val="282E015C"/>
    <w:rsid w:val="28C06F95"/>
    <w:rsid w:val="28F5EEAC"/>
    <w:rsid w:val="29514191"/>
    <w:rsid w:val="29D26E8C"/>
    <w:rsid w:val="2C787368"/>
    <w:rsid w:val="2D671C40"/>
    <w:rsid w:val="2D959EF8"/>
    <w:rsid w:val="2FEF5C80"/>
    <w:rsid w:val="30222C55"/>
    <w:rsid w:val="30912C3C"/>
    <w:rsid w:val="319C734E"/>
    <w:rsid w:val="32B69CDE"/>
    <w:rsid w:val="35384625"/>
    <w:rsid w:val="3790DA17"/>
    <w:rsid w:val="37E7051A"/>
    <w:rsid w:val="38A4F1E4"/>
    <w:rsid w:val="38B9AF36"/>
    <w:rsid w:val="38CD65AF"/>
    <w:rsid w:val="393D77A7"/>
    <w:rsid w:val="39D1F7D9"/>
    <w:rsid w:val="3AD3D494"/>
    <w:rsid w:val="3AD6FDCD"/>
    <w:rsid w:val="3ADBD254"/>
    <w:rsid w:val="3B4B8E03"/>
    <w:rsid w:val="3BA97C26"/>
    <w:rsid w:val="3DDCD904"/>
    <w:rsid w:val="3E8E2435"/>
    <w:rsid w:val="3F06A3AE"/>
    <w:rsid w:val="3F3F4063"/>
    <w:rsid w:val="3FE95E87"/>
    <w:rsid w:val="423E5264"/>
    <w:rsid w:val="42B5678D"/>
    <w:rsid w:val="43672370"/>
    <w:rsid w:val="439F0B2B"/>
    <w:rsid w:val="4535A53A"/>
    <w:rsid w:val="45C38320"/>
    <w:rsid w:val="46925ACA"/>
    <w:rsid w:val="47C1D41E"/>
    <w:rsid w:val="480A49CD"/>
    <w:rsid w:val="49845EFA"/>
    <w:rsid w:val="4B3D3C6C"/>
    <w:rsid w:val="4BA9F2E4"/>
    <w:rsid w:val="4CBB8344"/>
    <w:rsid w:val="4D0BD98C"/>
    <w:rsid w:val="4EA46748"/>
    <w:rsid w:val="4F0C554D"/>
    <w:rsid w:val="5167B6DB"/>
    <w:rsid w:val="54CE7A1E"/>
    <w:rsid w:val="56FD684D"/>
    <w:rsid w:val="58066711"/>
    <w:rsid w:val="5855A147"/>
    <w:rsid w:val="58F5A156"/>
    <w:rsid w:val="5A60E2AD"/>
    <w:rsid w:val="5A8524B8"/>
    <w:rsid w:val="5B248FA5"/>
    <w:rsid w:val="5B6AC832"/>
    <w:rsid w:val="5C1BD2AB"/>
    <w:rsid w:val="5D8B46DF"/>
    <w:rsid w:val="5DD2C741"/>
    <w:rsid w:val="5DF0D9EF"/>
    <w:rsid w:val="5FEE0CA5"/>
    <w:rsid w:val="5FF9AF81"/>
    <w:rsid w:val="61E5DC5C"/>
    <w:rsid w:val="63505B3A"/>
    <w:rsid w:val="640AA1B6"/>
    <w:rsid w:val="66936506"/>
    <w:rsid w:val="669AB20A"/>
    <w:rsid w:val="698A3A66"/>
    <w:rsid w:val="6AB6D0E8"/>
    <w:rsid w:val="6ACEC1E7"/>
    <w:rsid w:val="6B3AF871"/>
    <w:rsid w:val="6BE34988"/>
    <w:rsid w:val="6C99E684"/>
    <w:rsid w:val="6D99DB51"/>
    <w:rsid w:val="6E1C3E63"/>
    <w:rsid w:val="6E8B2276"/>
    <w:rsid w:val="6F4A13F6"/>
    <w:rsid w:val="72F08839"/>
    <w:rsid w:val="746F8A8C"/>
    <w:rsid w:val="7570BEB0"/>
    <w:rsid w:val="7843C4D5"/>
    <w:rsid w:val="789084DB"/>
    <w:rsid w:val="7A706E76"/>
    <w:rsid w:val="7A7EBB07"/>
    <w:rsid w:val="7D26C466"/>
    <w:rsid w:val="7E194ABA"/>
    <w:rsid w:val="7FFF2E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2067C"/>
  <w15:chartTrackingRefBased/>
  <w15:docId w15:val="{B2E4CEB3-12C9-4640-B28D-B3A96635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E80964"/>
    <w:pPr>
      <w:keepNext/>
      <w:keepLines/>
      <w:numPr>
        <w:numId w:val="3"/>
      </w:numPr>
      <w:spacing w:before="240" w:after="0"/>
      <w:outlineLvl w:val="0"/>
    </w:pPr>
    <w:rPr>
      <w:rFonts w:asciiTheme="majorHAnsi" w:hAnsiTheme="majorHAnsi" w:eastAsiaTheme="majorEastAsia" w:cstheme="majorBidi"/>
      <w:color w:val="0F4761"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E80964"/>
    <w:pPr>
      <w:ind w:left="720"/>
      <w:contextualSpacing/>
    </w:pPr>
  </w:style>
  <w:style w:type="character" w:styleId="berschrift1Zchn" w:customStyle="1">
    <w:name w:val="Überschrift 1 Zchn"/>
    <w:basedOn w:val="Absatz-Standardschriftart"/>
    <w:link w:val="berschrift1"/>
    <w:uiPriority w:val="9"/>
    <w:rsid w:val="00E80964"/>
    <w:rPr>
      <w:rFonts w:asciiTheme="majorHAnsi" w:hAnsiTheme="majorHAnsi" w:eastAsiaTheme="majorEastAsia" w:cstheme="majorBidi"/>
      <w:color w:val="0F4761" w:themeColor="accent1" w:themeShade="BF"/>
      <w:sz w:val="32"/>
      <w:szCs w:val="32"/>
    </w:rPr>
  </w:style>
  <w:style w:type="character" w:styleId="Hyperlink">
    <w:name w:val="Hyperlink"/>
    <w:basedOn w:val="Absatz-Standardschriftart"/>
    <w:uiPriority w:val="99"/>
    <w:unhideWhenUsed/>
    <w:rsid w:val="00FE5A24"/>
    <w:rPr>
      <w:color w:val="467886" w:themeColor="hyperlink"/>
      <w:u w:val="single"/>
    </w:rPr>
  </w:style>
  <w:style w:type="character" w:styleId="NichtaufgelsteErwhnung">
    <w:name w:val="Unresolved Mention"/>
    <w:basedOn w:val="Absatz-Standardschriftart"/>
    <w:uiPriority w:val="99"/>
    <w:semiHidden/>
    <w:unhideWhenUsed/>
    <w:rsid w:val="00FE5A24"/>
    <w:rPr>
      <w:color w:val="605E5C"/>
      <w:shd w:val="clear" w:color="auto" w:fill="E1DFDD"/>
    </w:rPr>
  </w:style>
  <w:style w:type="paragraph" w:styleId="StandardWeb">
    <w:name w:val="Normal (Web)"/>
    <w:basedOn w:val="Standard"/>
    <w:uiPriority w:val="99"/>
    <w:semiHidden/>
    <w:unhideWhenUsed/>
    <w:rsid w:val="00841BFC"/>
    <w:rPr>
      <w:rFonts w:ascii="Times New Roman" w:hAnsi="Times New Roman" w:cs="Times New Roman"/>
    </w:rPr>
  </w:style>
  <w:style w:type="character" w:styleId="berschrift2Zchn" w:customStyle="1">
    <w:name w:val="Überschrift 2 Zchn"/>
    <w:basedOn w:val="Absatz-Standardschriftart"/>
    <w:link w:val="berschrift2"/>
    <w:uiPriority w:val="9"/>
    <w:rPr>
      <w:rFonts w:asciiTheme="majorHAnsi" w:hAnsiTheme="majorHAnsi" w:eastAsiaTheme="majorEastAsia"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943996">
      <w:bodyDiv w:val="1"/>
      <w:marLeft w:val="0"/>
      <w:marRight w:val="0"/>
      <w:marTop w:val="0"/>
      <w:marBottom w:val="0"/>
      <w:divBdr>
        <w:top w:val="none" w:sz="0" w:space="0" w:color="auto"/>
        <w:left w:val="none" w:sz="0" w:space="0" w:color="auto"/>
        <w:bottom w:val="none" w:sz="0" w:space="0" w:color="auto"/>
        <w:right w:val="none" w:sz="0" w:space="0" w:color="auto"/>
      </w:divBdr>
    </w:div>
    <w:div w:id="157007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i.org/10.3390/jof8030317" TargetMode="External" Id="rId8" /><Relationship Type="http://schemas.openxmlformats.org/officeDocument/2006/relationships/hyperlink" Target="https://www.marketresearch.com/Expert-Market-Research-v4220/Global-Camping-Tent-Forecast-35387212/"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doi.org/10.1038/s41598-022-24070-3" TargetMode="External" Id="rId7" /><Relationship Type="http://schemas.openxmlformats.org/officeDocument/2006/relationships/hyperlink" Target="https://www.outdoorlife.com/gear/best-instant-tents/" TargetMode="External" Id="rId12" /><Relationship Type="http://schemas.openxmlformats.org/officeDocument/2006/relationships/hyperlink" Target="https://mitechnews.com/guest-columns/most-important-strategies-to-market-your-outdoor-brand-effectively/" TargetMode="External" Id="rId17" /><Relationship Type="http://schemas.openxmlformats.org/officeDocument/2006/relationships/styles" Target="styles.xml" Id="rId2" /><Relationship Type="http://schemas.openxmlformats.org/officeDocument/2006/relationships/hyperlink" Target="https://www.6wresearch.com/industry-report/switzerland-camping-tent-market" TargetMode="External" Id="rId16" /><Relationship Type="http://schemas.openxmlformats.org/officeDocument/2006/relationships/numbering" Target="numbering.xml" Id="rId1" /><Relationship Type="http://schemas.openxmlformats.org/officeDocument/2006/relationships/hyperlink" Target="https://doi.org/https://doi.org/10.1016/j.aej.2023.10.012" TargetMode="External" Id="rId6" /><Relationship Type="http://schemas.openxmlformats.org/officeDocument/2006/relationships/hyperlink" Target="https://www.outdoorlife.com/gear/best-instant-tents/" TargetMode="External" Id="rId11" /><Relationship Type="http://schemas.openxmlformats.org/officeDocument/2006/relationships/image" Target="media/image1.png" Id="rId5" /><Relationship Type="http://schemas.openxmlformats.org/officeDocument/2006/relationships/hyperlink" Target="https://www.arizton.com/market-reports/camping-tent-market-europe" TargetMode="External" Id="rId15" /><Relationship Type="http://schemas.openxmlformats.org/officeDocument/2006/relationships/hyperlink" Target="https://hilleberg.com/eng/discover/choosing-the-right-tent"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hilleberg.com/eng/discover/our-label-system" TargetMode="External" Id="rId9" /><Relationship Type="http://schemas.openxmlformats.org/officeDocument/2006/relationships/hyperlink" Target="https://www.marketresearch.com/Expert-Market-Research-v4220/Global-Camping-Tent-Forecast-35387212/"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Althaus Simon TA.W.2401</dc:creator>
  <keywords/>
  <dc:description/>
  <lastModifiedBy>Frongillo Matteo TA.EESE.2401</lastModifiedBy>
  <revision>67</revision>
  <dcterms:created xsi:type="dcterms:W3CDTF">2024-10-11T14:47:00.0000000Z</dcterms:created>
  <dcterms:modified xsi:type="dcterms:W3CDTF">2024-10-13T19:16:50.6752219Z</dcterms:modified>
</coreProperties>
</file>