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our submission to the trade association's public consultation on data localisation.</w:t>
      </w:r>
    </w:p>
    <w:p>
      <w:pPr>
        <w:pStyle w:val="Small"/>
      </w:pPr>
      <w:r>
        <w:t xml:space="preserve">Format: position-paper-corporate · Provider: mock · Generated: 2026-08-20T07:44:25.010Z</w:t>
      </w:r>
    </w:p>
    <w:p>
      <w:pPr>
        <w:pStyle w:val="Small"/>
      </w:pPr>
      <w:r>
        <w:t xml:space="preserve">Recommended: OPT-A · Aggregated risk: high · Total words: 500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organisation should defend an EU-data-residency compromise on the Bundestag Digital Committee's procurement guidance, and file a formal position before the Q1 2027 draft closes. The Committee is preparing procurement guidance that would prefer EU-headquartered SaaS providers, with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