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enter the German market?</w:t>
      </w:r>
    </w:p>
    <w:p>
      <w:pPr>
        <w:pStyle w:val="Small"/>
      </w:pPr>
      <w:r>
        <w:t xml:space="preserve">Format: mckinsey-style-note · Provider: mock · Generated: 2026-08-19T12:23:41.550Z</w:t>
      </w:r>
    </w:p>
    <w:p>
      <w:pPr>
        <w:pStyle w:val="Small"/>
      </w:pPr>
      <w:r>
        <w:t xml:space="preserve">Recommended: OPT-A · Aggregated risk: high · Total words: 326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The German mid-market SaaS segment grew 12% CAGR between 2022 and 2025 and now represents the largest addressable slice of EMEA. Foreign providers captured roughly 22% of the €7.5bn 2022-2025 growth, with the remainder held by domestic players.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