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Should we divest the underperforming consumer product line?</w:t>
      </w:r>
    </w:p>
    <w:p>
      <w:pPr>
        <w:pStyle w:val="Small"/>
      </w:pPr>
      <w:r>
        <w:t xml:space="preserve">Format: mckinsey-style-note · Provider: mock · Generated: 2026-08-19T12:23:41.669Z</w:t>
      </w:r>
    </w:p>
    <w:p>
      <w:pPr>
        <w:pStyle w:val="Small"/>
      </w:pPr>
      <w:r>
        <w:t xml:space="preserve">Recommended: OPT-A · Aggregated risk: high · Total words: 326 / 1200</w:t>
      </w:r>
    </w:p>
    <w:p>
      <w:pPr>
        <w:pStyle w:val="Heading2"/>
      </w:pPr>
      <w:r>
        <w:t xml:space="preserve">Table of Contents</w:t>
      </w:r>
    </w:p>
    <w:p>
      <w:r>
        <w:t xml:space="preserve">• Situation</w:t>
      </w:r>
    </w:p>
    <w:p>
      <w:r>
        <w:t xml:space="preserve">• Complication</w:t>
      </w:r>
    </w:p>
    <w:p>
      <w:r>
        <w:t xml:space="preserve">• Key Question</w:t>
      </w:r>
    </w:p>
    <w:p>
      <w:r>
        <w:t xml:space="preserve">• Answer</w:t>
      </w:r>
    </w:p>
    <w:p>
      <w:r>
        <w:t xml:space="preserve">• Supporting Arguments</w:t>
      </w:r>
    </w:p>
    <w:p>
      <w:r>
        <w:t xml:space="preserve">• So What</w:t>
      </w:r>
    </w:p>
    <w:p>
      <w:r>
        <w:t xml:space="preserve">• Adversarial Critique</w:t>
      </w:r>
    </w:p>
    <w:p>
      <w:r>
        <w:t xml:space="preserve">• Appendix A — Findings</w:t>
      </w:r>
    </w:p>
    <w:p>
      <w:r>
        <w:t xml:space="preserve">• Appendix B — Stakeholders</w:t>
      </w:r>
    </w:p>
    <w:p>
      <w:r>
        <w:t xml:space="preserve">• Appendix C — Risk Register</w:t>
      </w:r>
    </w:p>
    <w:p>
      <w:r>
        <w:t xml:space="preserve">• Sources</w:t>
      </w:r>
    </w:p>
    <w:p>
      <w:pPr>
        <w:pStyle w:val="Heading2"/>
      </w:pPr>
      <w:r>
        <w:t xml:space="preserve">Situation</w:t>
      </w:r>
    </w:p>
    <w:p>
      <w:r>
        <w:t xml:space="preserve">The German mid-market SaaS segment grew 12% CAGR between 2022 and 2025 and now represents the largest addressable slice of EMEA. Foreign providers captured roughly 22% of the €7.5bn 2022-2025 growth, with the remainder held by domestic players.</w:t>
      </w:r>
    </w:p>
    <w:p>
      <w:r>
        <w:rPr>
          <w:b/>
        </w:rPr>
        <w:t xml:space="preserve">Sources:</w:t>
      </w:r>
    </w:p>
    <w:p>
      <w:r>
        <w:t xml:space="preserve">• Germany SaaS Market-Entry Benchmark 2025 — https://www.mckinsey.com/insights/germany-saas-entry-benchmark-2025</w:t>
      </w:r>
    </w:p>
    <w:p>
      <w:r>
        <w:t xml:space="preserve">• SaaS-Markt Deutschland 2026 — https://www.bitkom.org/publikationen/saas-markt-deutschland-2026</w:t>
      </w:r>
    </w:p>
    <w:p>
      <w:pPr>
        <w:pStyle w:val="Heading2"/>
      </w:pPr>
      <w:r>
        <w:t xml:space="preserve">Complication</w:t>
      </w:r>
    </w:p>
    <w:p>
      <w:r>
        <w:t xml:space="preserve">Board sentiment on German entry has cooled: only 34% of European SaaS board chairs identified Germany as a top-three 2026 expansion priority, the lowest reading since 2020. At the same time, BCG's published analysis argues for partnership-led entry over greenfield in 68% of cases, which reframes the option space before internal debate begins.</w:t>
      </w:r>
    </w:p>
    <w:p>
      <w:r>
        <w:rPr>
          <w:b/>
        </w:rPr>
        <w:t xml:space="preserve">Sources:</w:t>
      </w:r>
    </w:p>
    <w:p>
      <w:r>
        <w:t xml:space="preserve">• HBR — European SaaS Board Sentiment Index 2025 — https://hbr.org/2025/12/european-saas-board-sentiment-index-2025</w:t>
      </w:r>
    </w:p>
    <w:p>
      <w:r>
        <w:t xml:space="preserve">• Partnership vs Greenfield — European SaaS Market Entry — https://www.bcg.com/publications/2025/saas-market-entry-europe-partnership-vs-greenfield</w:t>
      </w:r>
    </w:p>
    <w:p>
      <w:pPr>
        <w:pStyle w:val="Heading2"/>
      </w:pPr>
      <w:r>
        <w:t xml:space="preserve">Key Question</w:t>
      </w:r>
    </w:p>
    <w:p>
      <w:r>
        <w:t xml:space="preserve">Which of the following entry modes should the board authorise for Germany in Q1 2027: partnership with a local integrator, bounded greenfield hiring, or deferral to 2028?</w:t>
      </w:r>
    </w:p>
    <w:p>
      <w:pPr>
        <w:pStyle w:val="Heading2"/>
      </w:pPr>
      <w:r>
        <w:t xml:space="preserve">Answer</w:t>
      </w:r>
    </w:p>
    <w:p>
      <w:r>
        <w:t xml:space="preserve">Enter Germany in Q1 2027 via a partnership with a mid-size German integrator, aligned with BCG's published framework. The mechanism is a channel-and-services partnership under a revenue-share model that trades strategic control for a 4-6 month time-to-first-reference. The magnitude of impact is a €1-2m first-year commit and a first-referenceable customer within two quarters.</w:t>
      </w:r>
    </w:p>
    <w:p>
      <w:r>
        <w:rPr>
          <w:b/>
        </w:rPr>
        <w:t xml:space="preserve">Sources:</w:t>
      </w:r>
    </w:p>
    <w:p>
      <w:r>
        <w:t xml:space="preserve">• Partnership vs Greenfield — European SaaS Market Entry — https://www.bcg.com/publications/2025/saas-market-entry-europe-partnership-vs-greenfield</w:t>
      </w:r>
    </w:p>
    <w:p>
      <w:pPr>
        <w:pStyle w:val="Heading2"/>
      </w:pPr>
      <w:r>
        <w:t xml:space="preserve">Supporting Arguments</w:t>
      </w:r>
    </w:p>
    <w:p>
      <w:r>
        <w:t xml:space="preserve">The partnership option sits inside the CFO's 18-month payback discipline; only 27% of comparable SaaS expansions meet an 18-month threshold, and partnership-led entries do so materially more often than greenfield. The partnership option aligns with BCG's published framework, which recommends partnership-led entry in 68% of 87 tracked programmes; deviating publicly from a retained advisor's published position expands the board debate rather than settling it. The partnership option preserves the Head of Product's Q3 platform roadmap by minimising localisation displacement in year one, which is the fastest route to internal opposition on any other option.</w:t>
      </w:r>
    </w:p>
    <w:p>
      <w:r>
        <w:rPr>
          <w:b/>
        </w:rPr>
        <w:t xml:space="preserve">Sources:</w:t>
      </w:r>
    </w:p>
    <w:p>
      <w:r>
        <w:t xml:space="preserve">• Why international SaaS expansion misses payback targets — https://hbr.org/2026/02/international-expansion-payback-realities</w:t>
      </w:r>
    </w:p>
    <w:p>
      <w:r>
        <w:t xml:space="preserve">• Partnership vs Greenfield — European SaaS Market Entry — https://www.bcg.com/publications/2025/saas-market-entry-europe-partnership-vs-greenfield</w:t>
      </w:r>
    </w:p>
    <w:p>
      <w:pPr>
        <w:pStyle w:val="Heading2"/>
      </w:pPr>
      <w:r>
        <w:t xml:space="preserve">So What</w:t>
      </w:r>
    </w:p>
    <w:p>
      <w:r>
        <w:t xml:space="preserve">The Head of EMEA Sales must secure a partner shortlist and complete due diligence by Nov 30 or the 2027 window closes. Inaction defers the decision to 2028, foregoing 12 months of market signal at a strategic cost the board already flagged.</w:t>
      </w:r>
    </w:p>
    <w:p>
      <w:pPr>
        <w:pStyle w:val="Heading2"/>
      </w:pPr>
      <w:r>
        <w:t xml:space="preserve">Options</w:t>
      </w:r>
    </w:p>
    <w:tbl>
      <w:tblPr>
        <w:tblStyle w:val="PraxisTable"/>
        <w:tblW w:w="0" w:type="auto"/>
      </w:tblPr>
      <w:tr>
        <w:tc>
          <w:tcPr>
            <w:shd w:val="clear" w:color="auto" w:fill="E0E0E0"/>
          </w:tcPr>
          <w:p>
            <w:r>
              <w:rPr>
                <w:b/>
              </w:rPr>
              <w:t xml:space="preserve">ID</w:t>
            </w:r>
          </w:p>
        </w:tc>
        <w:tc>
          <w:tcPr>
            <w:shd w:val="clear" w:color="auto" w:fill="E0E0E0"/>
          </w:tcPr>
          <w:p>
            <w:r>
              <w:rPr>
                <w:b/>
              </w:rPr>
              <w:t xml:space="preserve">Title</w:t>
            </w:r>
          </w:p>
        </w:tc>
        <w:tc>
          <w:tcPr>
            <w:shd w:val="clear" w:color="auto" w:fill="E0E0E0"/>
          </w:tcPr>
          <w:p>
            <w:r>
              <w:rPr>
                <w:b/>
              </w:rPr>
              <w:t xml:space="preserve">Recommendation</w:t>
            </w:r>
          </w:p>
        </w:tc>
        <w:tc>
          <w:tcPr>
            <w:shd w:val="clear" w:color="auto" w:fill="E0E0E0"/>
          </w:tcPr>
          <w:p>
            <w:r>
              <w:rPr>
                <w:b/>
              </w:rPr>
              <w:t xml:space="preserve">Time horizon</w:t>
            </w:r>
          </w:p>
        </w:tc>
      </w:tr>
      <w:tr>
        <w:tc>
          <w:p>
            <w:r>
              <w:t xml:space="preserve">OPT-A</w:t>
            </w:r>
          </w:p>
        </w:tc>
        <w:tc>
          <w:p>
            <w:r>
              <w:t xml:space="preserve">Partnership-led entry, aligned with BCG's published framework</w:t>
            </w:r>
          </w:p>
        </w:tc>
        <w:tc>
          <w:p>
            <w:r>
              <w:t xml:space="preserve">recommended</w:t>
            </w:r>
          </w:p>
        </w:tc>
        <w:tc>
          <w:p>
            <w:r>
              <w:t xml:space="preserve">immediate</w:t>
            </w:r>
          </w:p>
        </w:tc>
      </w:tr>
      <w:tr>
        <w:tc>
          <w:p>
            <w:r>
              <w:t xml:space="preserve">OPT-B</w:t>
            </w:r>
          </w:p>
        </w:tc>
        <w:tc>
          <w:p>
            <w:r>
              <w:t xml:space="preserve">Bounded greenfield entry, direct hiring</w:t>
            </w:r>
          </w:p>
        </w:tc>
        <w:tc>
          <w:p>
            <w:r>
              <w:t xml:space="preserve">acceptable</w:t>
            </w:r>
          </w:p>
        </w:tc>
        <w:tc>
          <w:p>
            <w:r>
              <w:t xml:space="preserve">short-term</w:t>
            </w:r>
          </w:p>
        </w:tc>
      </w:tr>
      <w:tr>
        <w:tc>
          <w:p>
            <w:r>
              <w:t xml:space="preserve">OPT-C</w:t>
            </w:r>
          </w:p>
        </w:tc>
        <w:tc>
          <w:p>
            <w:r>
              <w:t xml:space="preserve">Defer German entry to 2028</w:t>
            </w:r>
          </w:p>
        </w:tc>
        <w:tc>
          <w:p>
            <w:r>
              <w:t xml:space="preserve">not-recommended</w:t>
            </w:r>
          </w:p>
        </w:tc>
        <w:tc>
          <w:p>
            <w:r>
              <w:t xml:space="preserve">medium-term</w:t>
            </w:r>
          </w:p>
        </w:tc>
      </w:tr>
    </w:tbl>
    <w:p>
      <w:pPr>
        <w:pStyle w:val="Heading2"/>
      </w:pPr>
      <w:r>
        <w:t xml:space="preserve">Risks</w:t>
      </w:r>
    </w:p>
    <w:tbl>
      <w:tblPr>
        <w:tblStyle w:val="PraxisTable"/>
        <w:tblW w:w="0" w:type="auto"/>
      </w:tblPr>
      <w:tr>
        <w:tc>
          <w:tcPr>
            <w:shd w:val="clear" w:color="auto" w:fill="E0E0E0"/>
          </w:tcPr>
          <w:p>
            <w:r>
              <w:rPr>
                <w:b/>
              </w:rPr>
              <w:t xml:space="preserve">ID</w:t>
            </w:r>
          </w:p>
        </w:tc>
        <w:tc>
          <w:tcPr>
            <w:shd w:val="clear" w:color="auto" w:fill="E0E0E0"/>
          </w:tcPr>
          <w:p>
            <w:r>
              <w:rPr>
                <w:b/>
              </w:rPr>
              <w:t xml:space="preserve">Category</w:t>
            </w:r>
          </w:p>
        </w:tc>
        <w:tc>
          <w:tcPr>
            <w:shd w:val="clear" w:color="auto" w:fill="E0E0E0"/>
          </w:tcPr>
          <w:p>
            <w:r>
              <w:rPr>
                <w:b/>
              </w:rPr>
              <w:t xml:space="preserve">Likelihood</w:t>
            </w:r>
          </w:p>
        </w:tc>
        <w:tc>
          <w:tcPr>
            <w:shd w:val="clear" w:color="auto" w:fill="E0E0E0"/>
          </w:tcPr>
          <w:p>
            <w:r>
              <w:rPr>
                <w:b/>
              </w:rPr>
              <w:t xml:space="preserve">Impact</w:t>
            </w:r>
          </w:p>
        </w:tc>
        <w:tc>
          <w:tcPr>
            <w:shd w:val="clear" w:color="auto" w:fill="E0E0E0"/>
          </w:tcPr>
          <w:p>
            <w:r>
              <w:rPr>
                <w:b/>
              </w:rPr>
              <w:t xml:space="preserve">Timeframe</w:t>
            </w:r>
          </w:p>
        </w:tc>
      </w:tr>
      <w:tr>
        <w:tc>
          <w:p>
            <w:r>
              <w:t xml:space="preserve">RISK-001</w:t>
            </w:r>
          </w:p>
        </w:tc>
        <w:tc>
          <w:p>
            <w:r>
              <w:t xml:space="preserve">financial</w:t>
            </w:r>
          </w:p>
        </w:tc>
        <w:tc>
          <w:p>
            <w:r>
              <w:t xml:space="preserve">high</w:t>
            </w:r>
          </w:p>
        </w:tc>
        <w:tc>
          <w:p>
            <w:r>
              <w:t xml:space="preserve">major</w:t>
            </w:r>
          </w:p>
        </w:tc>
        <w:tc>
          <w:p>
            <w:r>
              <w:t xml:space="preserve">short-term</w:t>
            </w:r>
          </w:p>
        </w:tc>
      </w:tr>
      <w:tr>
        <w:tc>
          <w:p>
            <w:r>
              <w:t xml:space="preserve">RISK-002</w:t>
            </w:r>
          </w:p>
        </w:tc>
        <w:tc>
          <w:p>
            <w:r>
              <w:t xml:space="preserve">operational</w:t>
            </w:r>
          </w:p>
        </w:tc>
        <w:tc>
          <w:p>
            <w:r>
              <w:t xml:space="preserve">high</w:t>
            </w:r>
          </w:p>
        </w:tc>
        <w:tc>
          <w:p>
            <w:r>
              <w:t xml:space="preserve">moderate</w:t>
            </w:r>
          </w:p>
        </w:tc>
        <w:tc>
          <w:p>
            <w:r>
              <w:t xml:space="preserve">immediate</w:t>
            </w:r>
          </w:p>
        </w:tc>
      </w:tr>
      <w:tr>
        <w:tc>
          <w:p>
            <w:r>
              <w:t xml:space="preserve">RISK-003</w:t>
            </w:r>
          </w:p>
        </w:tc>
        <w:tc>
          <w:p>
            <w:r>
              <w:t xml:space="preserve">strategic</w:t>
            </w:r>
          </w:p>
        </w:tc>
        <w:tc>
          <w:p>
            <w:r>
              <w:t xml:space="preserve">medium</w:t>
            </w:r>
          </w:p>
        </w:tc>
        <w:tc>
          <w:p>
            <w:r>
              <w:t xml:space="preserve">moderate</w:t>
            </w:r>
          </w:p>
        </w:tc>
        <w:tc>
          <w:p>
            <w:r>
              <w:t xml:space="preserve">immediate</w:t>
            </w:r>
          </w:p>
        </w:tc>
      </w:tr>
      <w:tr>
        <w:tc>
          <w:p>
            <w:r>
              <w:t xml:space="preserve">RISK-004</w:t>
            </w:r>
          </w:p>
        </w:tc>
        <w:tc>
          <w:p>
            <w:r>
              <w:t xml:space="preserve">regulatory</w:t>
            </w:r>
          </w:p>
        </w:tc>
        <w:tc>
          <w:p>
            <w:r>
              <w:t xml:space="preserve">high</w:t>
            </w:r>
          </w:p>
        </w:tc>
        <w:tc>
          <w:p>
            <w:r>
              <w:t xml:space="preserve">moderate</w:t>
            </w:r>
          </w:p>
        </w:tc>
        <w:tc>
          <w:p>
            <w:r>
              <w:t xml:space="preserve">short-term</w:t>
            </w:r>
          </w:p>
        </w:tc>
      </w:tr>
      <w:tr>
        <w:tc>
          <w:p>
            <w:r>
              <w:t xml:space="preserve">RISK-005</w:t>
            </w:r>
          </w:p>
        </w:tc>
        <w:tc>
          <w:p>
            <w:r>
              <w:t xml:space="preserve">human-capital</w:t>
            </w:r>
          </w:p>
        </w:tc>
        <w:tc>
          <w:p>
            <w:r>
              <w:t xml:space="preserve">medium</w:t>
            </w:r>
          </w:p>
        </w:tc>
        <w:tc>
          <w:p>
            <w:r>
              <w:t xml:space="preserve">moderate</w:t>
            </w:r>
          </w:p>
        </w:tc>
        <w:tc>
          <w:p>
            <w:r>
              <w:t xml:space="preserve">immediate</w:t>
            </w:r>
          </w:p>
        </w:tc>
      </w:tr>
      <w:tr>
        <w:tc>
          <w:p>
            <w:r>
              <w:t xml:space="preserve">RISK-006</w:t>
            </w:r>
          </w:p>
        </w:tc>
        <w:tc>
          <w:p>
            <w:r>
              <w:t xml:space="preserve">strategic</w:t>
            </w:r>
          </w:p>
        </w:tc>
        <w:tc>
          <w:p>
            <w:r>
              <w:t xml:space="preserve">low</w:t>
            </w:r>
          </w:p>
        </w:tc>
        <w:tc>
          <w:p>
            <w:r>
              <w:t xml:space="preserve">moderate</w:t>
            </w:r>
          </w:p>
        </w:tc>
        <w:tc>
          <w:p>
            <w:r>
              <w:t xml:space="preserve">immediate</w:t>
            </w:r>
          </w:p>
        </w:tc>
      </w:tr>
      <w:tr>
        <w:tc>
          <w:p>
            <w:r>
              <w:t xml:space="preserve">RISK-007</w:t>
            </w:r>
          </w:p>
        </w:tc>
        <w:tc>
          <w:p>
            <w:r>
              <w:t xml:space="preserve">reputational</w:t>
            </w:r>
          </w:p>
        </w:tc>
        <w:tc>
          <w:p>
            <w:r>
              <w:t xml:space="preserve">low</w:t>
            </w:r>
          </w:p>
        </w:tc>
        <w:tc>
          <w:p>
            <w:r>
              <w:t xml:space="preserve">major</w:t>
            </w:r>
          </w:p>
        </w:tc>
        <w:tc>
          <w:p>
            <w:r>
              <w:t xml:space="preserve">long-term</w:t>
            </w:r>
          </w:p>
        </w:tc>
      </w:tr>
      <w:tr>
        <w:tc>
          <w:p>
            <w:r>
              <w:t xml:space="preserve">RISK-008</w:t>
            </w:r>
          </w:p>
        </w:tc>
        <w:tc>
          <w:p>
            <w:r>
              <w:t xml:space="preserve">technological</w:t>
            </w:r>
          </w:p>
        </w:tc>
        <w:tc>
          <w:p>
            <w:r>
              <w:t xml:space="preserve">medium</w:t>
            </w:r>
          </w:p>
        </w:tc>
        <w:tc>
          <w:p>
            <w:r>
              <w:t xml:space="preserve">moderate</w:t>
            </w:r>
          </w:p>
        </w:tc>
        <w:tc>
          <w:p>
            <w:r>
              <w:t xml:space="preserve">short-term</w:t>
            </w:r>
          </w:p>
        </w:tc>
      </w:tr>
    </w:tbl>
    <w:p>
      <w:pPr>
        <w:pStyle w:val="Heading2"/>
      </w:pPr>
      <w:r>
        <w:t xml:space="preserve">Stakeholders</w:t>
      </w:r>
    </w:p>
    <w:tbl>
      <w:tblPr>
        <w:tblStyle w:val="PraxisTable"/>
        <w:tblW w:w="0" w:type="auto"/>
      </w:tblPr>
      <w:tr>
        <w:tc>
          <w:tcPr>
            <w:shd w:val="clear" w:color="auto" w:fill="E0E0E0"/>
          </w:tcPr>
          <w:p>
            <w:r>
              <w:rPr>
                <w:b/>
              </w:rPr>
              <w:t xml:space="preserve">Name</w:t>
            </w:r>
          </w:p>
        </w:tc>
        <w:tc>
          <w:tcPr>
            <w:shd w:val="clear" w:color="auto" w:fill="E0E0E0"/>
          </w:tcPr>
          <w:p>
            <w:r>
              <w:rPr>
                <w:b/>
              </w:rPr>
              <w:t xml:space="preserve">Position</w:t>
            </w:r>
          </w:p>
        </w:tc>
        <w:tc>
          <w:tcPr>
            <w:shd w:val="clear" w:color="auto" w:fill="E0E0E0"/>
          </w:tcPr>
          <w:p>
            <w:r>
              <w:rPr>
                <w:b/>
              </w:rPr>
              <w:t xml:space="preserve">Power</w:t>
            </w:r>
          </w:p>
        </w:tc>
        <w:tc>
          <w:tcPr>
            <w:shd w:val="clear" w:color="auto" w:fill="E0E0E0"/>
          </w:tcPr>
          <w:p>
            <w:r>
              <w:rPr>
                <w:b/>
              </w:rPr>
              <w:t xml:space="preserve">Priority</w:t>
            </w:r>
          </w:p>
        </w:tc>
      </w:tr>
      <w:tr>
        <w:tc>
          <w:p>
            <w:r>
              <w:t xml:space="preserve">Our CEO and Board</w:t>
            </w:r>
          </w:p>
        </w:tc>
        <w:tc>
          <w:p>
            <w:r>
              <w:t xml:space="preserve">neutral</w:t>
            </w:r>
          </w:p>
        </w:tc>
        <w:tc>
          <w:p>
            <w:r>
              <w:t xml:space="preserve">high</w:t>
            </w:r>
          </w:p>
        </w:tc>
        <w:tc>
          <w:p>
            <w:r>
              <w:t xml:space="preserve">critical</w:t>
            </w:r>
          </w:p>
        </w:tc>
      </w:tr>
      <w:tr>
        <w:tc>
          <w:p>
            <w:r>
              <w:t xml:space="preserve">CFO</w:t>
            </w:r>
          </w:p>
        </w:tc>
        <w:tc>
          <w:p>
            <w:r>
              <w:t xml:space="preserve">neutral</w:t>
            </w:r>
          </w:p>
        </w:tc>
        <w:tc>
          <w:p>
            <w:r>
              <w:t xml:space="preserve">high</w:t>
            </w:r>
          </w:p>
        </w:tc>
        <w:tc>
          <w:p>
            <w:r>
              <w:t xml:space="preserve">critical</w:t>
            </w:r>
          </w:p>
        </w:tc>
      </w:tr>
      <w:tr>
        <w:tc>
          <w:p>
            <w:r>
              <w:t xml:space="preserve">Head of Strategy</w:t>
            </w:r>
          </w:p>
        </w:tc>
        <w:tc>
          <w:p>
            <w:r>
              <w:t xml:space="preserve">supportive</w:t>
            </w:r>
          </w:p>
        </w:tc>
        <w:tc>
          <w:p>
            <w:r>
              <w:t xml:space="preserve">medium</w:t>
            </w:r>
          </w:p>
        </w:tc>
        <w:tc>
          <w:p>
            <w:r>
              <w:t xml:space="preserve">important</w:t>
            </w:r>
          </w:p>
        </w:tc>
      </w:tr>
      <w:tr>
        <w:tc>
          <w:p>
            <w:r>
              <w:t xml:space="preserve">BCG (advising board on European expansion)</w:t>
            </w:r>
          </w:p>
        </w:tc>
        <w:tc>
          <w:p>
            <w:r>
              <w:t xml:space="preserve">neutral</w:t>
            </w:r>
          </w:p>
        </w:tc>
        <w:tc>
          <w:p>
            <w:r>
              <w:t xml:space="preserve">medium</w:t>
            </w:r>
          </w:p>
        </w:tc>
        <w:tc>
          <w:p>
            <w:r>
              <w:t xml:space="preserve">important</w:t>
            </w:r>
          </w:p>
        </w:tc>
      </w:tr>
      <w:tr>
        <w:tc>
          <w:p>
            <w:r>
              <w:t xml:space="preserve">Head of Product</w:t>
            </w:r>
          </w:p>
        </w:tc>
        <w:tc>
          <w:p>
            <w:r>
              <w:t xml:space="preserve">resistant</w:t>
            </w:r>
          </w:p>
        </w:tc>
        <w:tc>
          <w:p>
            <w:r>
              <w:t xml:space="preserve">medium</w:t>
            </w:r>
          </w:p>
        </w:tc>
        <w:tc>
          <w:p>
            <w:r>
              <w:t xml:space="preserve">critical</w:t>
            </w:r>
          </w:p>
        </w:tc>
      </w:tr>
      <w:tr>
        <w:tc>
          <w:p>
            <w:r>
              <w:t xml:space="preserve">BfDI (Federal Commissioner for Data Protection)</w:t>
            </w:r>
          </w:p>
        </w:tc>
        <w:tc>
          <w:p>
            <w:r>
              <w:t xml:space="preserve">resistant</w:t>
            </w:r>
          </w:p>
        </w:tc>
        <w:tc>
          <w:p>
            <w:r>
              <w:t xml:space="preserve">high</w:t>
            </w:r>
          </w:p>
        </w:tc>
        <w:tc>
          <w:p>
            <w:r>
              <w:t xml:space="preserve">critical</w:t>
            </w:r>
          </w:p>
        </w:tc>
      </w:tr>
      <w:tr>
        <w:tc>
          <w:p>
            <w:r>
              <w:t xml:space="preserve">Bundesagentur für Arbeit (employment agency)</w:t>
            </w:r>
          </w:p>
        </w:tc>
        <w:tc>
          <w:p>
            <w:r>
              <w:t xml:space="preserve">supportive</w:t>
            </w:r>
          </w:p>
        </w:tc>
        <w:tc>
          <w:p>
            <w:r>
              <w:t xml:space="preserve">low</w:t>
            </w:r>
          </w:p>
        </w:tc>
        <w:tc>
          <w:p>
            <w:r>
              <w:t xml:space="preserve">monitor</w:t>
            </w:r>
          </w:p>
        </w:tc>
      </w:tr>
    </w:tbl>
    <w:p>
      <w:pPr>
        <w:pStyle w:val="Heading2"/>
      </w:pPr>
      <w:r>
        <w:t xml:space="preserve">Adversarial Critique</w:t>
      </w:r>
    </w:p>
    <w:p>
      <w:r>
        <w:t xml:space="preserve">Robustness: medium. Critiques: 5 (critical=1, material=2, minor=2). Revision needed: yes.</w:t>
      </w:r>
    </w:p>
    <w:p>
      <w:r>
        <w:rPr>
          <w:b/>
        </w:rPr>
        <w:t xml:space="preserve">Steelmanned alternative:</w:t>
      </w:r>
    </w:p>
    <w:p>
      <w:r>
        <w:t xml:space="preserve">The strongest alternative to the current OPT-A partnership recommendation is OPT-B (bounded greenfield) with pre-negotiated payback flexibility: enter Germany via a Berlin office capped at 12 hires for year one, with the CFO pre-committed to a 20-month payback threshold on trailing-quarter data. This trades OPT-A's speed to first reference for the strategic control that BCG's sample-conditioned analysis undervalues.</w:t>
      </w:r>
    </w:p>
    <w:p>
      <w:pPr>
        <w:pStyle w:val="Heading3"/>
      </w:pPr>
      <w:r>
        <w:t xml:space="preserve">CRIT-001 — dismissed-option (critical)</w:t>
      </w:r>
    </w:p>
    <w:p>
      <w:r>
        <w:rPr>
          <w:b/>
        </w:rPr>
        <w:t xml:space="preserve">Steelmanned position:</w:t>
      </w:r>
    </w:p>
    <w:p>
      <w:r>
        <w:t xml:space="preserve">OPT-B (greenfield entry) is set aside on the grounds that partnerships beat greenfield in the BCG sample, but partnership-led entries persist as partnerships in only 42 percent of cases past 18 months and the reader is being asked to trust a strategy that dissolves in the majority of comparable programmes.</w:t>
      </w:r>
    </w:p>
    <w:p>
      <w:r>
        <w:rPr>
          <w:b/>
        </w:rPr>
        <w:t xml:space="preserve">Implication if true:</w:t>
      </w:r>
    </w:p>
    <w:p>
      <w:r>
        <w:t xml:space="preserve">If OPT-A's underlying partnership dissolves at the observed base rate, the recommendation becomes de facto greenfield with a 12-18 month delay — worse than the greenfield option it displaced.</w:t>
      </w:r>
    </w:p>
    <w:p>
      <w:r>
        <w:rPr>
          <w:b/>
        </w:rPr>
        <w:t xml:space="preserve">Suggested revision:</w:t>
      </w:r>
    </w:p>
    <w:p>
      <w:r>
        <w:t xml:space="preserve">Add a partnership durability clause to the answer that pre-commits to converting to greenfield at month 12 if the partner has not delivered a stated number of referenceable customers.</w:t>
      </w:r>
    </w:p>
    <w:p>
      <w:r>
        <w:rPr>
          <w:b/>
        </w:rPr>
        <w:t xml:space="preserve">Counter-evidence:</w:t>
      </w:r>
    </w:p>
    <w:p>
      <w:r>
        <w:t xml:space="preserve">Partnership durability in SaaS market entry — https://hbr.org/critique-partnership-durability</w:t>
      </w:r>
    </w:p>
    <w:p>
      <w:pPr>
        <w:pStyle w:val="Heading3"/>
      </w:pPr>
      <w:r>
        <w:t xml:space="preserve">CRIT-002 — weak-source (material)</w:t>
      </w:r>
    </w:p>
    <w:p>
      <w:r>
        <w:rPr>
          <w:b/>
        </w:rPr>
        <w:t xml:space="preserve">Steelmanned position:</w:t>
      </w:r>
    </w:p>
    <w:p>
      <w:r>
        <w:t xml:space="preserve">The supporting arguments lean heavily on BCG's 87-entry sample, but that sample was drawn from clients who engaged BCG for market entry — a strong selection bias toward partnership-friendly firms whose posture predates BCG's involvement rather than resulting from it.</w:t>
      </w:r>
    </w:p>
    <w:p>
      <w:r>
        <w:rPr>
          <w:b/>
        </w:rPr>
        <w:t xml:space="preserve">Implication if true:</w:t>
      </w:r>
    </w:p>
    <w:p>
      <w:r>
        <w:t xml:space="preserve">The 68-percent partnership advantage may be a selection effect rather than a strategic finding, in which case the recommendation is resting on an artefact of BCG's client mix rather than a durable pattern.</w:t>
      </w:r>
    </w:p>
    <w:p>
      <w:r>
        <w:rPr>
          <w:b/>
        </w:rPr>
        <w:t xml:space="preserve">Suggested revision:</w:t>
      </w:r>
    </w:p>
    <w:p>
      <w:r>
        <w:t xml:space="preserve">Add a supporting argument that acknowledges the BCG sample's selection profile and cross-checks the partnership-vs-greenfield conclusion against a non-BCG dataset.</w:t>
      </w:r>
    </w:p>
    <w:p>
      <w:r>
        <w:rPr>
          <w:b/>
        </w:rPr>
        <w:t xml:space="preserve">Counter-evidence:</w:t>
      </w:r>
    </w:p>
    <w:p>
      <w:r>
        <w:t xml:space="preserve">Selection bias in the BCG partnership sample — https://www.bcg.com/critique-bcg-selection-bias</w:t>
      </w:r>
    </w:p>
    <w:p>
      <w:pPr>
        <w:pStyle w:val="Heading3"/>
      </w:pPr>
      <w:r>
        <w:t xml:space="preserve">CRIT-003 — hidden-assumption (material)</w:t>
      </w:r>
    </w:p>
    <w:p>
      <w:r>
        <w:rPr>
          <w:b/>
        </w:rPr>
        <w:t xml:space="preserve">Steelmanned position:</w:t>
      </w:r>
    </w:p>
    <w:p>
      <w:r>
        <w:t xml:space="preserve">The answer treats the CFO's 18-month payback discipline as non-negotiable, but in comparable European SaaS boards surveyed the payback discipline was re-negotiated within 12 months in 63 percent of cases when trailing-quarter data supported an exception — which suggests OPT-B was ruled out on a constraint that may not bind.</w:t>
      </w:r>
    </w:p>
    <w:p>
      <w:r>
        <w:rPr>
          <w:b/>
        </w:rPr>
        <w:t xml:space="preserve">Implication if true:</w:t>
      </w:r>
    </w:p>
    <w:p>
      <w:r>
        <w:t xml:space="preserve">If the CFO's payback threshold is negotiable at the 20-month mark, the case against OPT-B collapses — the recommendation is resting on a constraint that will move.</w:t>
      </w:r>
    </w:p>
    <w:p>
      <w:r>
        <w:rPr>
          <w:b/>
        </w:rPr>
        <w:t xml:space="preserve">Suggested revision:</w:t>
      </w:r>
    </w:p>
    <w:p>
      <w:r>
        <w:t xml:space="preserve">Add a payback-re-negotiation contingency that reserves the option to switch to OPT-B if trailing-quarter data supports a 20-month exception.</w:t>
      </w:r>
    </w:p>
    <w:p>
      <w:r>
        <w:rPr>
          <w:b/>
        </w:rPr>
        <w:t xml:space="preserve">Counter-evidence:</w:t>
      </w:r>
    </w:p>
    <w:p>
      <w:r>
        <w:t xml:space="preserve">CFO payback thresholds are re-negotiable when trailing data supports — https://www.reuters.com/critique-cfo-payback-flexibility</w:t>
      </w:r>
    </w:p>
    <w:p>
      <w:pPr>
        <w:pStyle w:val="Heading3"/>
      </w:pPr>
      <w:r>
        <w:t xml:space="preserve">CRIT-004 — risk-underestimated (minor)</w:t>
      </w:r>
    </w:p>
    <w:p>
      <w:r>
        <w:rPr>
          <w:b/>
        </w:rPr>
        <w:t xml:space="preserve">Steelmanned position:</w:t>
      </w:r>
    </w:p>
    <w:p>
      <w:r>
        <w:t xml:space="preserve">RISK-005 (Head of Product opposition) is rated medium likelihood, but the pattern where internal executive opposition surfaces in board Q&amp;A when unresolved is 47 percent in comparable decisions — this pushes the likelihood into the high band, not medium.</w:t>
      </w:r>
    </w:p>
    <w:p>
      <w:r>
        <w:rPr>
          <w:b/>
        </w:rPr>
        <w:t xml:space="preserve">Implication if true:</w:t>
      </w:r>
    </w:p>
    <w:p>
      <w:r>
        <w:t xml:space="preserve">A high-likelihood risk of surfacing in board Q&amp;A would materially delay the board decision itself, not just execution — a different failure mode than the current mitigations address.</w:t>
      </w:r>
    </w:p>
    <w:p>
      <w:r>
        <w:rPr>
          <w:b/>
        </w:rPr>
        <w:t xml:space="preserve">Suggested revision:</w:t>
      </w:r>
    </w:p>
    <w:p>
      <w:r>
        <w:t xml:space="preserve">Re-classify RISK-005 as high likelihood and add a pre-board mitigation that resolves the trade-off with Head of Product BEFORE the board meeting rather than after.</w:t>
      </w:r>
    </w:p>
    <w:p>
      <w:r>
        <w:rPr>
          <w:b/>
        </w:rPr>
        <w:t xml:space="preserve">Counter-evidence:</w:t>
      </w:r>
    </w:p>
    <w:p>
      <w:r>
        <w:t xml:space="preserve">SOURCE_MISSING — searched for: board Q&amp;A internal opposition rate for strategic decisions over 10m euros</w:t>
      </w:r>
    </w:p>
    <w:p>
      <w:pPr>
        <w:pStyle w:val="Heading3"/>
      </w:pPr>
      <w:r>
        <w:t xml:space="preserve">CRIT-005 — missing-perspective (minor)</w:t>
      </w:r>
    </w:p>
    <w:p>
      <w:r>
        <w:rPr>
          <w:b/>
        </w:rPr>
        <w:t xml:space="preserve">Steelmanned position:</w:t>
      </w:r>
    </w:p>
    <w:p>
      <w:r>
        <w:t xml:space="preserve">The supporting arguments cover the CFO, board, product, and BCG perspectives but omit the perspective of the Head of Engineering, who bears the localisation-delivery burden and whose capacity is the operational bottleneck for either OPT-A or OPT-B.</w:t>
      </w:r>
    </w:p>
    <w:p>
      <w:r>
        <w:rPr>
          <w:b/>
        </w:rPr>
        <w:t xml:space="preserve">Implication if true:</w:t>
      </w:r>
    </w:p>
    <w:p>
      <w:r>
        <w:t xml:space="preserve">If the Head of Engineering flags capacity constraints, the localisation timelines both options depend on would need to be revised upward — pushing time-to-first-reference on both options.</w:t>
      </w:r>
    </w:p>
    <w:p>
      <w:r>
        <w:rPr>
          <w:b/>
        </w:rPr>
        <w:t xml:space="preserve">Suggested revision:</w:t>
      </w:r>
    </w:p>
    <w:p>
      <w:r>
        <w:t xml:space="preserve">Add a supporting argument surfacing the Head of Engineering's capacity view and its impact on time-to-first-reference under both options.</w:t>
      </w:r>
    </w:p>
    <w:p>
      <w:r>
        <w:rPr>
          <w:b/>
        </w:rPr>
        <w:t xml:space="preserve">Counter-evidence:</w:t>
      </w:r>
    </w:p>
    <w:p>
      <w:r>
        <w:t xml:space="preserve">SOURCE_MISSING — searched for: head of engineering perspective in cross-border SaaS market entry decisions</w:t>
      </w:r>
    </w:p>
    <w:p>
      <w:pPr>
        <w:pStyle w:val="Heading2"/>
      </w:pPr>
      <w:r>
        <w:t xml:space="preserve">Appendix A — Findings</w:t>
      </w:r>
    </w:p>
    <w:p>
      <w:pPr>
        <w:pStyle w:val="Heading3"/>
      </w:pPr>
      <w:r>
        <w:t xml:space="preserve">Finding 1</w:t>
      </w:r>
    </w:p>
    <w:p>
      <w:r>
        <w:t xml:space="preserve">Claim: The German SaaS market added €7.5bn in revenue between 2022 and 2025, of which foreign entrants captured roughly 22%.</w:t>
      </w:r>
    </w:p>
    <w:p>
      <w:r>
        <w:t xml:space="preserve">Evidence: Bitkom 2026 report cross-referenced with Eurostat Digital Economy series.</w:t>
      </w:r>
    </w:p>
    <w:p>
      <w:r>
        <w:t xml:space="preserve">Source: SaaS-Markt Deutschland 2026 — https://www.bitkom.org/publikationen/saas-markt-deutschland-2026</w:t>
      </w:r>
    </w:p>
    <w:p>
      <w:pPr>
        <w:pStyle w:val="Heading3"/>
      </w:pPr>
      <w:r>
        <w:t xml:space="preserve">Finding 2</w:t>
      </w:r>
    </w:p>
    <w:p>
      <w:r>
        <w:t xml:space="preserve">Claim: Time-to-first-referenceable-customer for foreign SaaS entrants in Germany averages 9 months, versus 4 months in the UK.</w:t>
      </w:r>
    </w:p>
    <w:p>
      <w:r>
        <w:t xml:space="preserve">Evidence: McKinsey Germany 2025 benchmark of 42 entrants.</w:t>
      </w:r>
    </w:p>
    <w:p>
      <w:r>
        <w:t xml:space="preserve">Source: Germany SaaS Market-Entry Benchmark 2025 — https://www.mckinsey.com/de/our-insights/germany-saas-entry-benchmark-2025</w:t>
      </w:r>
    </w:p>
    <w:p>
      <w:pPr>
        <w:pStyle w:val="Heading3"/>
      </w:pPr>
      <w:r>
        <w:t xml:space="preserve">Finding 3</w:t>
      </w:r>
    </w:p>
    <w:p>
      <w:r>
        <w:t xml:space="preserve">Claim: Partnership-led entry outperforms greenfield on 24-month NPV in 68% of tracked cases.</w:t>
      </w:r>
    </w:p>
    <w:p>
      <w:r>
        <w:t xml:space="preserve">Evidence: BCG Perspectives 2025 study of 87 European SaaS market-entry programmes.</w:t>
      </w:r>
    </w:p>
    <w:p>
      <w:r>
        <w:t xml:space="preserve">Source: Partnership vs Greenfield — European SaaS Market Entry — https://www.bcg.com/publications/2025/saas-market-entry-europe-partnership-vs-greenfield</w:t>
      </w:r>
    </w:p>
    <w:p>
      <w:pPr>
        <w:pStyle w:val="Heading3"/>
      </w:pPr>
      <w:r>
        <w:t xml:space="preserve">Finding 4</w:t>
      </w:r>
    </w:p>
    <w:p>
      <w:r>
        <w:t xml:space="preserve">Claim: Executive appetite for German expansion among European SaaS boards is at a 5-year low following 2024 macro shocks.</w:t>
      </w:r>
    </w:p>
    <w:p>
      <w:r>
        <w:t xml:space="preserve">Evidence: Slush 2025 board sentiment index (n=142 European SaaS chairs).</w:t>
      </w:r>
    </w:p>
    <w:p>
      <w:r>
        <w:t xml:space="preserve">Source: HBR — European SaaS Board Sentiment Index 2025 — https://hbr.org/2025/12/european-saas-board-sentiment-index-2025</w:t>
      </w:r>
    </w:p>
    <w:p>
      <w:pPr>
        <w:pStyle w:val="Heading2"/>
      </w:pPr>
      <w:r>
        <w:t xml:space="preserve">Appendix B — Stakeholders</w:t>
      </w:r>
    </w:p>
    <w:tbl>
      <w:tblPr>
        <w:tblStyle w:val="PraxisTable"/>
        <w:tblW w:w="0" w:type="auto"/>
      </w:tblPr>
      <w:tr>
        <w:tc>
          <w:tcPr>
            <w:shd w:val="clear" w:color="auto" w:fill="E0E0E0"/>
          </w:tcPr>
          <w:p>
            <w:r>
              <w:rPr>
                <w:b/>
              </w:rPr>
              <w:t xml:space="preserve">Name</w:t>
            </w:r>
          </w:p>
        </w:tc>
        <w:tc>
          <w:tcPr>
            <w:shd w:val="clear" w:color="auto" w:fill="E0E0E0"/>
          </w:tcPr>
          <w:p>
            <w:r>
              <w:rPr>
                <w:b/>
              </w:rPr>
              <w:t xml:space="preserve">Position</w:t>
            </w:r>
          </w:p>
        </w:tc>
        <w:tc>
          <w:tcPr>
            <w:shd w:val="clear" w:color="auto" w:fill="E0E0E0"/>
          </w:tcPr>
          <w:p>
            <w:r>
              <w:rPr>
                <w:b/>
              </w:rPr>
              <w:t xml:space="preserve">Power</w:t>
            </w:r>
          </w:p>
        </w:tc>
        <w:tc>
          <w:tcPr>
            <w:shd w:val="clear" w:color="auto" w:fill="E0E0E0"/>
          </w:tcPr>
          <w:p>
            <w:r>
              <w:rPr>
                <w:b/>
              </w:rPr>
              <w:t xml:space="preserve">Priority</w:t>
            </w:r>
          </w:p>
        </w:tc>
      </w:tr>
      <w:tr>
        <w:tc>
          <w:p>
            <w:r>
              <w:t xml:space="preserve">Our CEO and Board</w:t>
            </w:r>
          </w:p>
        </w:tc>
        <w:tc>
          <w:p>
            <w:r>
              <w:t xml:space="preserve">neutral</w:t>
            </w:r>
          </w:p>
        </w:tc>
        <w:tc>
          <w:p>
            <w:r>
              <w:t xml:space="preserve">high</w:t>
            </w:r>
          </w:p>
        </w:tc>
        <w:tc>
          <w:p>
            <w:r>
              <w:t xml:space="preserve">critical</w:t>
            </w:r>
          </w:p>
        </w:tc>
      </w:tr>
      <w:tr>
        <w:tc>
          <w:p>
            <w:r>
              <w:t xml:space="preserve">CFO</w:t>
            </w:r>
          </w:p>
        </w:tc>
        <w:tc>
          <w:p>
            <w:r>
              <w:t xml:space="preserve">neutral</w:t>
            </w:r>
          </w:p>
        </w:tc>
        <w:tc>
          <w:p>
            <w:r>
              <w:t xml:space="preserve">high</w:t>
            </w:r>
          </w:p>
        </w:tc>
        <w:tc>
          <w:p>
            <w:r>
              <w:t xml:space="preserve">critical</w:t>
            </w:r>
          </w:p>
        </w:tc>
      </w:tr>
      <w:tr>
        <w:tc>
          <w:p>
            <w:r>
              <w:t xml:space="preserve">Head of Strategy</w:t>
            </w:r>
          </w:p>
        </w:tc>
        <w:tc>
          <w:p>
            <w:r>
              <w:t xml:space="preserve">supportive</w:t>
            </w:r>
          </w:p>
        </w:tc>
        <w:tc>
          <w:p>
            <w:r>
              <w:t xml:space="preserve">medium</w:t>
            </w:r>
          </w:p>
        </w:tc>
        <w:tc>
          <w:p>
            <w:r>
              <w:t xml:space="preserve">important</w:t>
            </w:r>
          </w:p>
        </w:tc>
      </w:tr>
      <w:tr>
        <w:tc>
          <w:p>
            <w:r>
              <w:t xml:space="preserve">BCG (advising board on European expansion)</w:t>
            </w:r>
          </w:p>
        </w:tc>
        <w:tc>
          <w:p>
            <w:r>
              <w:t xml:space="preserve">neutral</w:t>
            </w:r>
          </w:p>
        </w:tc>
        <w:tc>
          <w:p>
            <w:r>
              <w:t xml:space="preserve">medium</w:t>
            </w:r>
          </w:p>
        </w:tc>
        <w:tc>
          <w:p>
            <w:r>
              <w:t xml:space="preserve">important</w:t>
            </w:r>
          </w:p>
        </w:tc>
      </w:tr>
      <w:tr>
        <w:tc>
          <w:p>
            <w:r>
              <w:t xml:space="preserve">Head of Product</w:t>
            </w:r>
          </w:p>
        </w:tc>
        <w:tc>
          <w:p>
            <w:r>
              <w:t xml:space="preserve">resistant</w:t>
            </w:r>
          </w:p>
        </w:tc>
        <w:tc>
          <w:p>
            <w:r>
              <w:t xml:space="preserve">medium</w:t>
            </w:r>
          </w:p>
        </w:tc>
        <w:tc>
          <w:p>
            <w:r>
              <w:t xml:space="preserve">critical</w:t>
            </w:r>
          </w:p>
        </w:tc>
      </w:tr>
      <w:tr>
        <w:tc>
          <w:p>
            <w:r>
              <w:t xml:space="preserve">BfDI (Federal Commissioner for Data Protection)</w:t>
            </w:r>
          </w:p>
        </w:tc>
        <w:tc>
          <w:p>
            <w:r>
              <w:t xml:space="preserve">resistant</w:t>
            </w:r>
          </w:p>
        </w:tc>
        <w:tc>
          <w:p>
            <w:r>
              <w:t xml:space="preserve">high</w:t>
            </w:r>
          </w:p>
        </w:tc>
        <w:tc>
          <w:p>
            <w:r>
              <w:t xml:space="preserve">critical</w:t>
            </w:r>
          </w:p>
        </w:tc>
      </w:tr>
      <w:tr>
        <w:tc>
          <w:p>
            <w:r>
              <w:t xml:space="preserve">Bundesagentur für Arbeit (employment agency)</w:t>
            </w:r>
          </w:p>
        </w:tc>
        <w:tc>
          <w:p>
            <w:r>
              <w:t xml:space="preserve">supportive</w:t>
            </w:r>
          </w:p>
        </w:tc>
        <w:tc>
          <w:p>
            <w:r>
              <w:t xml:space="preserve">low</w:t>
            </w:r>
          </w:p>
        </w:tc>
        <w:tc>
          <w:p>
            <w:r>
              <w:t xml:space="preserve">monitor</w:t>
            </w:r>
          </w:p>
        </w:tc>
      </w:tr>
    </w:tbl>
    <w:p>
      <w:pPr>
        <w:pStyle w:val="Heading2"/>
      </w:pPr>
      <w:r>
        <w:t xml:space="preserve">Appendix C — Risk Register</w:t>
      </w:r>
    </w:p>
    <w:tbl>
      <w:tblPr>
        <w:tblStyle w:val="PraxisTable"/>
        <w:tblW w:w="0" w:type="auto"/>
      </w:tblPr>
      <w:tr>
        <w:tc>
          <w:tcPr>
            <w:shd w:val="clear" w:color="auto" w:fill="E0E0E0"/>
          </w:tcPr>
          <w:p>
            <w:r>
              <w:rPr>
                <w:b/>
              </w:rPr>
              <w:t xml:space="preserve">ID</w:t>
            </w:r>
          </w:p>
        </w:tc>
        <w:tc>
          <w:tcPr>
            <w:shd w:val="clear" w:color="auto" w:fill="E0E0E0"/>
          </w:tcPr>
          <w:p>
            <w:r>
              <w:rPr>
                <w:b/>
              </w:rPr>
              <w:t xml:space="preserve">Category</w:t>
            </w:r>
          </w:p>
        </w:tc>
        <w:tc>
          <w:tcPr>
            <w:shd w:val="clear" w:color="auto" w:fill="E0E0E0"/>
          </w:tcPr>
          <w:p>
            <w:r>
              <w:rPr>
                <w:b/>
              </w:rPr>
              <w:t xml:space="preserve">Likelihood</w:t>
            </w:r>
          </w:p>
        </w:tc>
        <w:tc>
          <w:tcPr>
            <w:shd w:val="clear" w:color="auto" w:fill="E0E0E0"/>
          </w:tcPr>
          <w:p>
            <w:r>
              <w:rPr>
                <w:b/>
              </w:rPr>
              <w:t xml:space="preserve">Impact</w:t>
            </w:r>
          </w:p>
        </w:tc>
        <w:tc>
          <w:tcPr>
            <w:shd w:val="clear" w:color="auto" w:fill="E0E0E0"/>
          </w:tcPr>
          <w:p>
            <w:r>
              <w:rPr>
                <w:b/>
              </w:rPr>
              <w:t xml:space="preserve">Timeframe</w:t>
            </w:r>
          </w:p>
        </w:tc>
      </w:tr>
      <w:tr>
        <w:tc>
          <w:p>
            <w:r>
              <w:t xml:space="preserve">RISK-001</w:t>
            </w:r>
          </w:p>
        </w:tc>
        <w:tc>
          <w:p>
            <w:r>
              <w:t xml:space="preserve">financial</w:t>
            </w:r>
          </w:p>
        </w:tc>
        <w:tc>
          <w:p>
            <w:r>
              <w:t xml:space="preserve">high</w:t>
            </w:r>
          </w:p>
        </w:tc>
        <w:tc>
          <w:p>
            <w:r>
              <w:t xml:space="preserve">major</w:t>
            </w:r>
          </w:p>
        </w:tc>
        <w:tc>
          <w:p>
            <w:r>
              <w:t xml:space="preserve">short-term</w:t>
            </w:r>
          </w:p>
        </w:tc>
      </w:tr>
      <w:tr>
        <w:tc>
          <w:p>
            <w:r>
              <w:t xml:space="preserve">RISK-002</w:t>
            </w:r>
          </w:p>
        </w:tc>
        <w:tc>
          <w:p>
            <w:r>
              <w:t xml:space="preserve">operational</w:t>
            </w:r>
          </w:p>
        </w:tc>
        <w:tc>
          <w:p>
            <w:r>
              <w:t xml:space="preserve">high</w:t>
            </w:r>
          </w:p>
        </w:tc>
        <w:tc>
          <w:p>
            <w:r>
              <w:t xml:space="preserve">moderate</w:t>
            </w:r>
          </w:p>
        </w:tc>
        <w:tc>
          <w:p>
            <w:r>
              <w:t xml:space="preserve">immediate</w:t>
            </w:r>
          </w:p>
        </w:tc>
      </w:tr>
      <w:tr>
        <w:tc>
          <w:p>
            <w:r>
              <w:t xml:space="preserve">RISK-003</w:t>
            </w:r>
          </w:p>
        </w:tc>
        <w:tc>
          <w:p>
            <w:r>
              <w:t xml:space="preserve">strategic</w:t>
            </w:r>
          </w:p>
        </w:tc>
        <w:tc>
          <w:p>
            <w:r>
              <w:t xml:space="preserve">medium</w:t>
            </w:r>
          </w:p>
        </w:tc>
        <w:tc>
          <w:p>
            <w:r>
              <w:t xml:space="preserve">moderate</w:t>
            </w:r>
          </w:p>
        </w:tc>
        <w:tc>
          <w:p>
            <w:r>
              <w:t xml:space="preserve">immediate</w:t>
            </w:r>
          </w:p>
        </w:tc>
      </w:tr>
      <w:tr>
        <w:tc>
          <w:p>
            <w:r>
              <w:t xml:space="preserve">RISK-004</w:t>
            </w:r>
          </w:p>
        </w:tc>
        <w:tc>
          <w:p>
            <w:r>
              <w:t xml:space="preserve">regulatory</w:t>
            </w:r>
          </w:p>
        </w:tc>
        <w:tc>
          <w:p>
            <w:r>
              <w:t xml:space="preserve">high</w:t>
            </w:r>
          </w:p>
        </w:tc>
        <w:tc>
          <w:p>
            <w:r>
              <w:t xml:space="preserve">moderate</w:t>
            </w:r>
          </w:p>
        </w:tc>
        <w:tc>
          <w:p>
            <w:r>
              <w:t xml:space="preserve">short-term</w:t>
            </w:r>
          </w:p>
        </w:tc>
      </w:tr>
      <w:tr>
        <w:tc>
          <w:p>
            <w:r>
              <w:t xml:space="preserve">RISK-005</w:t>
            </w:r>
          </w:p>
        </w:tc>
        <w:tc>
          <w:p>
            <w:r>
              <w:t xml:space="preserve">human-capital</w:t>
            </w:r>
          </w:p>
        </w:tc>
        <w:tc>
          <w:p>
            <w:r>
              <w:t xml:space="preserve">medium</w:t>
            </w:r>
          </w:p>
        </w:tc>
        <w:tc>
          <w:p>
            <w:r>
              <w:t xml:space="preserve">moderate</w:t>
            </w:r>
          </w:p>
        </w:tc>
        <w:tc>
          <w:p>
            <w:r>
              <w:t xml:space="preserve">immediate</w:t>
            </w:r>
          </w:p>
        </w:tc>
      </w:tr>
      <w:tr>
        <w:tc>
          <w:p>
            <w:r>
              <w:t xml:space="preserve">RISK-006</w:t>
            </w:r>
          </w:p>
        </w:tc>
        <w:tc>
          <w:p>
            <w:r>
              <w:t xml:space="preserve">strategic</w:t>
            </w:r>
          </w:p>
        </w:tc>
        <w:tc>
          <w:p>
            <w:r>
              <w:t xml:space="preserve">low</w:t>
            </w:r>
          </w:p>
        </w:tc>
        <w:tc>
          <w:p>
            <w:r>
              <w:t xml:space="preserve">moderate</w:t>
            </w:r>
          </w:p>
        </w:tc>
        <w:tc>
          <w:p>
            <w:r>
              <w:t xml:space="preserve">immediate</w:t>
            </w:r>
          </w:p>
        </w:tc>
      </w:tr>
      <w:tr>
        <w:tc>
          <w:p>
            <w:r>
              <w:t xml:space="preserve">RISK-007</w:t>
            </w:r>
          </w:p>
        </w:tc>
        <w:tc>
          <w:p>
            <w:r>
              <w:t xml:space="preserve">reputational</w:t>
            </w:r>
          </w:p>
        </w:tc>
        <w:tc>
          <w:p>
            <w:r>
              <w:t xml:space="preserve">low</w:t>
            </w:r>
          </w:p>
        </w:tc>
        <w:tc>
          <w:p>
            <w:r>
              <w:t xml:space="preserve">major</w:t>
            </w:r>
          </w:p>
        </w:tc>
        <w:tc>
          <w:p>
            <w:r>
              <w:t xml:space="preserve">long-term</w:t>
            </w:r>
          </w:p>
        </w:tc>
      </w:tr>
      <w:tr>
        <w:tc>
          <w:p>
            <w:r>
              <w:t xml:space="preserve">RISK-008</w:t>
            </w:r>
          </w:p>
        </w:tc>
        <w:tc>
          <w:p>
            <w:r>
              <w:t xml:space="preserve">technological</w:t>
            </w:r>
          </w:p>
        </w:tc>
        <w:tc>
          <w:p>
            <w:r>
              <w:t xml:space="preserve">medium</w:t>
            </w:r>
          </w:p>
        </w:tc>
        <w:tc>
          <w:p>
            <w:r>
              <w:t xml:space="preserve">moderate</w:t>
            </w:r>
          </w:p>
        </w:tc>
        <w:tc>
          <w:p>
            <w:r>
              <w:t xml:space="preserve">short-term</w:t>
            </w:r>
          </w:p>
        </w:tc>
      </w:tr>
    </w:tbl>
    <w:p>
      <w:pPr>
        <w:pStyle w:val="Heading2"/>
      </w:pPr>
      <w:r>
        <w:t xml:space="preserve">Sources</w:t>
      </w:r>
    </w:p>
    <w:p>
      <w:r>
        <w:t xml:space="preserve">• 2026 EMEA Priorities Memo — Head of Strategy — https://www.mckinsey.com/de/2026-emea-priorities-strategy-memo (accessed 2026-08-17T12:15:00Z)</w:t>
      </w:r>
    </w:p>
    <w:p>
      <w:r>
        <w:t xml:space="preserve">• 2026 Product Roadmap Trade-offs Memo — https://hbr.org/2026/02/product-roadmap-tradeoffs-during-international-expansion (accessed 2026-08-17T12:30:00Z)</w:t>
      </w:r>
    </w:p>
    <w:p>
      <w:r>
        <w:t xml:space="preserve">• BfDI Tätigkeitsbericht 2026 — Kapitel 4 — https://www.bfdi.bund.de/DE/Fachthemen/Inhalte/TB-2026/Kapitel-4.html (accessed 2026-08-17T12:38:00Z)</w:t>
      </w:r>
    </w:p>
    <w:p>
      <w:r>
        <w:t xml:space="preserve">• Board influence of external strategic advisors — https://hbr.org/2026/03/board-influence-of-external-advisors (accessed 2026-08-13T11:19:00Z)</w:t>
      </w:r>
    </w:p>
    <w:p>
      <w:r>
        <w:t xml:space="preserve">• Bundesagentur für Arbeit — Employment of Foreign Workers — https://www.arbeitsagentur.de/en/employers/employment-of-foreign-workers (accessed 2026-08-17T12:44:00Z)</w:t>
      </w:r>
    </w:p>
    <w:p>
      <w:r>
        <w:t xml:space="preserve">• CFO payback thresholds are re-negotiable when trailing data supports — https://www.reuters.com/critique-cfo-payback-flexibility (accessed 2026-08-13T11:00:00Z)</w:t>
      </w:r>
    </w:p>
    <w:p>
      <w:r>
        <w:t xml:space="preserve">• Customer-reference delays after a localisation slip — 2025 benchmark — https://www.mckinsey.com/de/insights/customer-reference-delay-localisation-slip-2025 (accessed 2026-08-08T16:16:00Z)</w:t>
      </w:r>
    </w:p>
    <w:p>
      <w:r>
        <w:t xml:space="preserve">• EU data audit costs for foreign SaaS providers reach €4m median — https://www.ft.com/content/eu-data-audit-costs-2025 (accessed 2026-08-12T09:46:00Z)</w:t>
      </w:r>
    </w:p>
    <w:p>
      <w:r>
        <w:t xml:space="preserve">• Executive alignment and speed of strategic decisions — https://www.bcg.com/publications/2025/executive-alignment-strategic-decisions (accessed 2026-08-11T15:27:00Z)</w:t>
      </w:r>
    </w:p>
    <w:p>
      <w:r>
        <w:t xml:space="preserve">• German BfDI publishes 2026 audit priorities for foreign SaaS — https://www.reuters.com/technology/bfdi-audit-priorities-foreign-saas-2026 (accessed 2026-08-12T09:41:00Z)</w:t>
      </w:r>
    </w:p>
    <w:p>
      <w:r>
        <w:t xml:space="preserve">• Germany SaaS Market-Entry Benchmark 2025 — https://www.mckinsey.com/de/our-insights/germany-saas-entry-benchmark-2025 (accessed 2026-08-17T10:11:00Z)</w:t>
      </w:r>
    </w:p>
    <w:p>
      <w:r>
        <w:t xml:space="preserve">• Germany SaaS Market-Entry Benchmark 2025 — https://www.mckinsey.com/insights/germany-saas-entry-benchmark-2025 (accessed 2026-08-14T14:26:00Z)</w:t>
      </w:r>
    </w:p>
    <w:p>
      <w:r>
        <w:t xml:space="preserve">• Greenfield SaaS entry failure rates in Europe — 2025 — https://www.ft.com/content/saas-greenfield-failure-rates-europe-2025 (accessed 2026-08-09T10:41:00Z)</w:t>
      </w:r>
    </w:p>
    <w:p>
      <w:r>
        <w:t xml:space="preserve">• HBR — European SaaS Board Sentiment Index 2025 — https://hbr.org/2025/12/european-saas-board-sentiment-index-2025 (accessed 2026-08-17T10:29:00Z)</w:t>
      </w:r>
    </w:p>
    <w:p>
      <w:r>
        <w:t xml:space="preserve">• HBR — European SaaS Board Sentiment Index 2025 — https://hbr.org/2025/12/board-sentiment-index-europe-2025 (accessed 2026-08-14T14:29:00Z)</w:t>
      </w:r>
    </w:p>
    <w:p>
      <w:r>
        <w:t xml:space="preserve">• How long it takes a board to recover from a drifting decision — https://hbr.org/2025/12/board-time-to-recover-from-a-drifting-decision (accessed 2026-08-10T13:08:00Z)</w:t>
      </w:r>
    </w:p>
    <w:p>
      <w:r>
        <w:t xml:space="preserve">• Internal opposition and boardroom credibility — https://hbr.org/2026/01/internal-opposition-in-strategic-decisions (accessed 2026-08-11T15:22:00Z)</w:t>
      </w:r>
    </w:p>
    <w:p>
      <w:r>
        <w:t xml:space="preserve">• Managing roadmap slip under strategic pressure — https://hbr.org/2025/09/managing-roadmap-slip-under-strategic-pressure (accessed 2026-08-14T14:26:00Z)</w:t>
      </w:r>
    </w:p>
    <w:p>
      <w:r>
        <w:t xml:space="preserve">• Option-space framing effects on board decisions — https://www.bcg.com/publications/2025/option-space-framing-boards (accessed 2026-08-10T13:03:00Z)</w:t>
      </w:r>
    </w:p>
    <w:p>
      <w:r>
        <w:t xml:space="preserve">• Partnership durability in SaaS market entry — https://hbr.org/critique-partnership-durability (accessed 2026-08-15T10:00:00Z)</w:t>
      </w:r>
    </w:p>
    <w:p>
      <w:r>
        <w:t xml:space="preserve">• Partnership vs Greenfield — European SaaS Market Entry — https://www.bcg.com/publications/2025/saas-market-entry-europe-partnership-vs-greenfield (accessed 2026-08-17T10:20:00Z)</w:t>
      </w:r>
    </w:p>
    <w:p>
      <w:r>
        <w:t xml:space="preserve">• Product roadmap trade-offs during international expansion — https://www.bcg.com/publications/2025/product-roadmap-tradeoffs-international-expansion (accessed 2026-08-14T14:22:00Z)</w:t>
      </w:r>
    </w:p>
    <w:p>
      <w:r>
        <w:t xml:space="preserve">• Q2 2026 Earnings Call Transcript — CEO Prepared Remarks — https://www.reuters.com/business/tech/example-corp-q2-2026-earnings-call-transcript (accessed 2026-08-17T12:02:00Z)</w:t>
      </w:r>
    </w:p>
    <w:p>
      <w:r>
        <w:t xml:space="preserve">• Reputational cost of failed international expansion — https://hbr.org/2025/10/reputational-cost-of-failed-international-expansion (accessed 2026-08-09T10:46:00Z)</w:t>
      </w:r>
    </w:p>
    <w:p>
      <w:r>
        <w:t xml:space="preserve">• SaaS localisation delivery risk — 2025 benchmark — https://www.bcg.com/publications/2025/saas-localisation-delivery-risk (accessed 2026-08-08T16:11:00Z)</w:t>
      </w:r>
    </w:p>
    <w:p>
      <w:r>
        <w:t xml:space="preserve">• SaaS-Markt Deutschland 2026 — https://www.bitkom.org/publikationen/saas-markt-deutschland-2026 (accessed 2026-08-17T10:02:00Z)</w:t>
      </w:r>
    </w:p>
    <w:p>
      <w:r>
        <w:t xml:space="preserve">• Selection bias in the BCG partnership sample — https://www.bcg.com/critique-bcg-selection-bias (accessed 2026-08-14T14:00:00Z)</w:t>
      </w:r>
    </w:p>
    <w:p>
      <w:r>
        <w:t xml:space="preserve">• When SaaS boards retract capital mid-expansion — 2025 review — https://www.bcg.com/publications/2025/capital-retraction-triggers-saas-expansion (accessed 2026-08-15T10:08:00Z)</w:t>
      </w:r>
    </w:p>
    <w:p>
      <w:r>
        <w:t xml:space="preserve">• Why international SaaS expansion misses payback targets — https://hbr.org/2026/02/international-expansion-payback-realities (accessed 2026-08-15T10:03:00Z)</w:t>
      </w:r>
    </w:p>
    <w:p>
      <w:pPr>
        <w:pStyle w:val="Heading2"/>
      </w:pPr>
      <w:r>
        <w:t xml:space="preserve">Sourcing Report</w:t>
      </w:r>
    </w:p>
    <w:p>
      <w:r>
        <w:t xml:space="preserve">Policy: strict. Total items: 32. OK: 28, stale: 0, untrusted: 0, duplicated: 2, missing: 2.</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Calibri" w:hAnsi="Calibri" w:cs="Calibri"/>
      <w:sz w:val="22"/>
    </w:rPr>
  </w:style>
  <w:style w:type="paragraph" w:styleId="Heading1">
    <w:name w:val="heading 1"/>
    <w:basedOn w:val="Normal"/>
    <w:next w:val="Normal"/>
    <w:qFormat/>
    <w:pPr>
      <w:spacing w:before="400" w:after="200"/>
    </w:pPr>
    <w:rPr>
      <w:rFonts w:ascii="Calibri" w:hAnsi="Calibri"/>
      <w:b/>
      <w:color w:val="000000"/>
      <w:sz w:val="48"/>
    </w:rPr>
  </w:style>
  <w:style w:type="paragraph" w:styleId="Heading2">
    <w:name w:val="heading 2"/>
    <w:basedOn w:val="Normal"/>
    <w:next w:val="Normal"/>
    <w:qFormat/>
    <w:pPr>
      <w:spacing w:before="360" w:after="120"/>
    </w:pPr>
    <w:rPr>
      <w:rFonts w:ascii="Calibri" w:hAnsi="Calibri"/>
      <w:b/>
      <w:color w:val="404040"/>
      <w:sz w:val="32"/>
    </w:rPr>
  </w:style>
  <w:style w:type="paragraph" w:styleId="Heading3">
    <w:name w:val="heading 3"/>
    <w:basedOn w:val="Normal"/>
    <w:next w:val="Normal"/>
    <w:qFormat/>
    <w:pPr>
      <w:spacing w:before="240" w:after="80"/>
    </w:pPr>
    <w:rPr>
      <w:rFonts w:ascii="Calibri" w:hAnsi="Calibri"/>
      <w:b/>
      <w:color w:val="606060"/>
      <w:sz w:val="26"/>
    </w:rPr>
  </w:style>
  <w:style w:type="paragraph" w:styleId="Small">
    <w:name w:val="Small"/>
    <w:basedOn w:val="Normal"/>
    <w:rPr>
      <w:sz w:val="18"/>
      <w:color w:val="606060"/>
    </w:rPr>
  </w:style>
  <w:style w:type="table" w:styleId="PraxisTable">
    <w:name w:val="PraxisTable"/>
    <w:tblPr>
      <w:tblBorders>
        <w:top w:val="single" w:sz="4" w:color="808080"/>
        <w:left w:val="single" w:sz="4" w:color="808080"/>
        <w:bottom w:val="single" w:sz="4" w:color="808080"/>
        <w:right w:val="single" w:sz="4" w:color="808080"/>
        <w:insideH w:val="single" w:sz="4" w:color="C0C0C0"/>
        <w:insideV w:val="single" w:sz="4" w:color="C0C0C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