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divest the underperforming consumer product line?</w:t>
      </w:r>
    </w:p>
    <w:p>
      <w:pPr>
        <w:pStyle w:val="Small"/>
      </w:pPr>
      <w:r>
        <w:t xml:space="preserve">Format: mckinsey-style-note · Provider: mock · Generated: 2026-08-19T11:59:14.192Z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