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pursue the acquisition of a European supply-chain competitor?</w:t>
      </w:r>
    </w:p>
    <w:p>
      <w:pPr>
        <w:pStyle w:val="Small"/>
      </w:pPr>
      <w:r>
        <w:t xml:space="preserve">Format: mckinsey-style-note · Provider: mock · Generated: 2026-08-18T13:29:14.225Z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