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divest the underperforming consumer product line?</w:t>
      </w:r>
    </w:p>
    <w:p>
      <w:pPr>
        <w:pStyle w:val="Small"/>
      </w:pPr>
      <w:r>
        <w:t xml:space="preserve">Format: mckinsey-style-note · Provider: mock · Generated: 2026-08-18T13:29:14.257Z</w:t>
      </w:r>
    </w:p>
    <w:p>
      <w:pPr>
        <w:pStyle w:val="Small"/>
      </w:pPr>
      <w:r>
        <w:t xml:space="preserve">Recommended: OPT-A · Aggregated risk: high · Total words: 326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The German mid-market SaaS segment grew 12% CAGR between 2022 and 2025 and now represents the largest addressable slice of EMEA. Foreign providers captured roughly 22% of the €7.5bn 2022-2025 growth, with the remainder held by domestic players.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