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Draft our corporate position on the incoming AI regulatory framework.</w:t>
      </w:r>
    </w:p>
    <w:p>
      <w:pPr>
        <w:pStyle w:val="Small"/>
      </w:pPr>
      <w:r>
        <w:t xml:space="preserve">Format: position-paper-corporate · Provider: mock · Generated: 2026-08-18T13:29:14.273Z</w:t>
      </w:r>
    </w:p>
    <w:p>
      <w:pPr>
        <w:pStyle w:val="Small"/>
      </w:pPr>
      <w:r>
        <w:t xml:space="preserve">Recommended: OPT-A · Aggregated risk: high · Total words: 476 / 1600</w:t>
      </w:r>
    </w:p>
    <w:p>
      <w:pPr>
        <w:pStyle w:val="Heading2"/>
      </w:pPr>
      <w:r>
        <w:t xml:space="preserve">Table of Contents</w:t>
      </w:r>
    </w:p>
    <w:p>
      <w:r>
        <w:t xml:space="preserve">• Issue Framing</w:t>
      </w:r>
    </w:p>
    <w:p>
      <w:r>
        <w:t xml:space="preserve">• Stakeholder Landscape</w:t>
      </w:r>
    </w:p>
    <w:p>
      <w:r>
        <w:t xml:space="preserve">• Our Position</w:t>
      </w:r>
    </w:p>
    <w:p>
      <w:r>
        <w:t xml:space="preserve">• Rationale</w:t>
      </w:r>
    </w:p>
    <w:p>
      <w:r>
        <w:t xml:space="preserve">• Counter-Arguments Addressed</w:t>
      </w:r>
    </w:p>
    <w:p>
      <w:r>
        <w:t xml:space="preserve">• Recommended Actions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Issue Framing</w:t>
      </w:r>
    </w:p>
    <w:p>
      <w:r>
        <w:t xml:space="preserve">The Bundestag Digital Committee is preparing procurement guidance that would prefer EU-headquartered SaaS providers, with a cross-party consensus emerging over the second half of 2026. BMDV has issued a conditional welcome to foreign SaaS entrants, tied to EU data residency and transparent processing governance. The organisation has standing to weigh in because its 2026 ambitions memo names Germany as a commercial-and-institutional priority; the decision window closes with the Committee's Q1 2027 draft.</w:t>
      </w:r>
    </w:p>
    <w:p>
      <w:r>
        <w:rPr>
          <w:b/>
        </w:rPr>
        <w:t xml:space="preserve">Sources:</w:t>
      </w:r>
    </w:p>
    <w:p>
      <w:r>
        <w:t xml:space="preserve">• Germany drafts digital sovereignty procurement guidance — https://www.reuters.com/world/europe/germany-digital-sovereignty-procurement-2026</w:t>
      </w:r>
    </w:p>
    <w:p>
      <w:r>
        <w:t xml:space="preserve">• BMDV — Pressemitteilung 12.03.2026 — https://www.bmdv.bund.de/pressemitteilungen/2026/03/12-saas-marktzugang</w:t>
      </w:r>
    </w:p>
    <w:p>
      <w:pPr>
        <w:pStyle w:val="Heading2"/>
      </w:pPr>
      <w:r>
        <w:t xml:space="preserve">Stakeholder Landscape</w:t>
      </w:r>
    </w:p>
    <w:p>
      <w:r>
        <w:t xml:space="preserve">The Bundestag Digital Committee is the deciding body on procurement guidance and holds cross-party consensus on preferring EU providers by default. BMDV is the executive gatekeeper and has explicitly welcomed foreign SaaS provided residency and governance commitments are made. Handelsblatt is the influential press voice whose framing shapes peer C-suite perception. Verdi is the swing external observer that becomes material above twenty German staff. eco and Bitkom are the industry associations whose backing materially shortens the trust ramp.</w:t>
      </w:r>
    </w:p>
    <w:p>
      <w:r>
        <w:rPr>
          <w:b/>
        </w:rPr>
        <w:t xml:space="preserve">Sources:</w:t>
      </w:r>
    </w:p>
    <w:p>
      <w:r>
        <w:t xml:space="preserve">• Plenarprotokoll 20/187 — Debatte Digitale Souveränität — https://www.bundestag.de/protokolle/20-187-digital-sovereignty</w:t>
      </w:r>
    </w:p>
    <w:p>
      <w:r>
        <w:t xml:space="preserve">• BMDV welcomes foreign SaaS with conditions — https://www.reuters.com/technology/bmdv-conditional-welcome-saas-2026</w:t>
      </w:r>
    </w:p>
    <w:p>
      <w:r>
        <w:t xml:space="preserve">• Handelsblatt — Ausländische SaaS-Anbieter drängen nach Deutschland — https://www.handelsblatt.com/technik/it-internet/saas-markteintritt-auslaendisch-2026</w:t>
      </w:r>
    </w:p>
    <w:p>
      <w:r>
        <w:t xml:space="preserve">• Verdi — Positionen zur Digitalisierung 2026 — https://www.verdi.de/themen/digitalisierung/positionen-2026</w:t>
      </w:r>
    </w:p>
    <w:p>
      <w:pPr>
        <w:pStyle w:val="Heading2"/>
      </w:pPr>
      <w:r>
        <w:t xml:space="preserve">Our Position</w:t>
      </w:r>
    </w:p>
    <w:p>
      <w:r>
        <w:t xml:space="preserve">The organisation holds that a bounded, publicly EU-established entry into the German mid-market SaaS segment in Q1 2027 is both compatible with the emerging procurement doctrine and materially aligned with BMDV's stated welcome conditions. The organisation commits to EU data residency on day one, publicly tied to a named data-centre partner. The organisation will apply for Bitkom and eco membership within the first quarter of operations and will pre-brief the Handelsblatt IT desk thirty days before public launch.</w:t>
      </w:r>
    </w:p>
    <w:p>
      <w:r>
        <w:rPr>
          <w:b/>
        </w:rPr>
        <w:t xml:space="preserve">Sources:</w:t>
      </w:r>
    </w:p>
    <w:p>
      <w:r>
        <w:t xml:space="preserve">• BMDV — Pressemitteilung 12.03.2026 — https://www.bmdv.bund.de/pressemitteilungen/2026/03/12-saas-marktzugang</w:t>
      </w:r>
    </w:p>
    <w:p>
      <w:r>
        <w:t xml:space="preserve">• BMDV welcomes foreign SaaS with conditions — https://www.reuters.com/technology/bmdv-conditional-welcome-saas-2026</w:t>
      </w:r>
    </w:p>
    <w:p>
      <w:pPr>
        <w:pStyle w:val="Heading2"/>
      </w:pPr>
      <w:r>
        <w:t xml:space="preserve">Rationale</w:t>
      </w:r>
    </w:p>
    <w:p>
      <w:r>
        <w:t xml:space="preserve">The position rests on the emerging cross-party consensus in the Bundestag Digital Committee, which the organisation reads as durable rather than opportunistic. It also rests on BMDV's March 2026 conditional welcome, which the organisation treats as a floor rather than a ceiling for its own commitments. The position is coherent with the organisation's 2026 ambitions memo, which framed Germany as a commercial-and-institutional priority to be pursued in tandem, not sequentially. Verdi's threshold of twenty German staff is respected by capping year-one hiring below that threshold and staging additional headcount to year two contingent on customer traction.</w:t>
      </w:r>
    </w:p>
    <w:p>
      <w:r>
        <w:rPr>
          <w:b/>
        </w:rPr>
        <w:t xml:space="preserve">Sources:</w:t>
      </w:r>
    </w:p>
    <w:p>
      <w:r>
        <w:t xml:space="preserve">• Plenarprotokoll 20/187 — Debatte Digitale Souveränität — https://www.bundestag.de/protokolle/20-187-digital-sovereignty</w:t>
      </w:r>
    </w:p>
    <w:p>
      <w:r>
        <w:t xml:space="preserve">• BMDV — Pressemitteilung 12.03.2026 — https://www.bmdv.bund.de/pressemitteilungen/2026/03/12-saas-marktzugang</w:t>
      </w:r>
    </w:p>
    <w:p>
      <w:r>
        <w:t xml:space="preserve">• BMDV welcomes foreign SaaS with conditions — https://www.reuters.com/technology/bmdv-conditional-welcome-saas-2026</w:t>
      </w:r>
    </w:p>
    <w:p>
      <w:r>
        <w:t xml:space="preserve">• Verdi — Positionen zur Digitalisierung 2026 — https://www.verdi.de/themen/digitalisierung/positionen-2026</w:t>
      </w:r>
    </w:p>
    <w:p>
      <w:pPr>
        <w:pStyle w:val="Heading2"/>
      </w:pPr>
      <w:r>
        <w:t xml:space="preserve">Counter-Arguments Addressed</w:t>
      </w:r>
    </w:p>
    <w:p>
      <w:r>
        <w:t xml:space="preserve">The strongest counter-argument is that a full day-one EU-residency commitment is materially more expensive than a phased approach; the response is that the €2-3m savings from phasing do not offset the Handelsblatt attack surface a public-messaging gap would create. A second counter-argument is that DACH advocacy alone could achieve institutional standing without the commercial risk; the response is that this contradicts the 2026 ambitions memo's commercial-and-institutional framing and cedes the buyer narrative to a competitor entering commercially in 2027.</w:t>
      </w:r>
    </w:p>
    <w:p>
      <w:r>
        <w:rPr>
          <w:b/>
        </w:rPr>
        <w:t xml:space="preserve">Sources:</w:t>
      </w:r>
    </w:p>
    <w:p>
      <w:r>
        <w:t xml:space="preserve">• Handelsblatt — Ausländische SaaS-Anbieter drängen nach Deutschland — https://www.handelsblatt.com/technik/it-internet/saas-markteintritt-auslaendisch-2026</w:t>
      </w:r>
    </w:p>
    <w:p>
      <w:pPr>
        <w:pStyle w:val="Heading2"/>
      </w:pPr>
      <w:r>
        <w:t xml:space="preserve">Recommended Actions</w:t>
      </w:r>
    </w:p>
    <w:p>
      <w:r>
        <w:t xml:space="preserve">1. Sign the EU data-centre partner and publish the residency commitment by Oct 15 (Corporate Affairs leadership).
2. File Bitkom and eco membership applications by Nov 30 (Corporate Affairs leadership).
3. Pre-brief the Handelsblatt IT desk thirty days before the Q1 2027 launch (Corporate Affairs leadership).</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Publicly EU-established entry with day-one residency commitment</w:t>
            </w:r>
          </w:p>
        </w:tc>
        <w:tc>
          <w:p>
            <w:r>
              <w:t xml:space="preserve">recommended</w:t>
            </w:r>
          </w:p>
        </w:tc>
        <w:tc>
          <w:p>
            <w:r>
              <w:t xml:space="preserve">short-term</w:t>
            </w:r>
          </w:p>
        </w:tc>
      </w:tr>
      <w:tr>
        <w:tc>
          <w:p>
            <w:r>
              <w:t xml:space="preserve">OPT-B</w:t>
            </w:r>
          </w:p>
        </w:tc>
        <w:tc>
          <w:p>
            <w:r>
              <w:t xml:space="preserve">Phased entry with residency commitment deferred to year two</w:t>
            </w:r>
          </w:p>
        </w:tc>
        <w:tc>
          <w:p>
            <w:r>
              <w:t xml:space="preserve">acceptable</w:t>
            </w:r>
          </w:p>
        </w:tc>
        <w:tc>
          <w:p>
            <w:r>
              <w:t xml:space="preserve">short-term</w:t>
            </w:r>
          </w:p>
        </w:tc>
      </w:tr>
      <w:tr>
        <w:tc>
          <w:p>
            <w:r>
              <w:t xml:space="preserve">OPT-C</w:t>
            </w:r>
          </w:p>
        </w:tc>
        <w:tc>
          <w:p>
            <w:r>
              <w:t xml:space="preserve">Advocacy-only mode: build DACH standing without operations</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material=3, minor=1). Revision needed: yes.</w:t>
      </w:r>
    </w:p>
    <w:p>
      <w:r>
        <w:rPr>
          <w:b/>
        </w:rPr>
        <w:t xml:space="preserve">Steelmanned alternative:</w:t>
      </w:r>
    </w:p>
    <w:p>
      <w:r>
        <w:t xml:space="preserve">The strongest alternative to the current day-one EU data residency commitment is a milestone-based residency commitment tied to a Q3 2027 delivery, coupled with a public BMDV-stability contingency and a pre-negotiated slip-tolerance clause with the data-centre partner. This trades some of the initial narrative clarity for material protection against a residency-slip cascade and a BMDV posture reversal.</w:t>
      </w:r>
    </w:p>
    <w:p>
      <w:pPr>
        <w:pStyle w:val="Heading3"/>
      </w:pPr>
      <w:r>
        <w:t xml:space="preserve">CRIT-001 — overconfidence (critical)</w:t>
      </w:r>
    </w:p>
    <w:p>
      <w:r>
        <w:rPr>
          <w:b/>
        </w:rPr>
        <w:t xml:space="preserve">Steelmanned position:</w:t>
      </w:r>
    </w:p>
    <w:p>
      <w:r>
        <w:t xml:space="preserve">The Our Position section commits to a day-one EU data residency stance without hedging against implementation delays, but comparable residency commitments have overrun their announced timeline in the majority of tracked cases and a public slip would flip BMDV from supportive to resistant within weeks.</w:t>
      </w:r>
    </w:p>
    <w:p>
      <w:r>
        <w:rPr>
          <w:b/>
        </w:rPr>
        <w:t xml:space="preserve">Implication if true:</w:t>
      </w:r>
    </w:p>
    <w:p>
      <w:r>
        <w:t xml:space="preserve">A residency slip would materially damage the position paper's credibility with BMDV and the Bundestag Digital Committee, converting the primary supporter into a hostile witness before the paper is a year old.</w:t>
      </w:r>
    </w:p>
    <w:p>
      <w:r>
        <w:rPr>
          <w:b/>
        </w:rPr>
        <w:t xml:space="preserve">Suggested revision:</w:t>
      </w:r>
    </w:p>
    <w:p>
      <w:r>
        <w:t xml:space="preserve">Rework the position to commit to a residency milestone rather than a residency date, and pre-negotiate a slip-tolerance clause with the named data-centre partner.</w:t>
      </w:r>
    </w:p>
    <w:p>
      <w:r>
        <w:rPr>
          <w:b/>
        </w:rPr>
        <w:t xml:space="preserve">Counter-evidence:</w:t>
      </w:r>
    </w:p>
    <w:p>
      <w:r>
        <w:t xml:space="preserve">EU data residency cost overruns exceed benchmarks — https://www.ft.com/critique-eu-residency-cost-overrun</w:t>
      </w:r>
    </w:p>
    <w:p>
      <w:pPr>
        <w:pStyle w:val="Heading3"/>
      </w:pPr>
      <w:r>
        <w:t xml:space="preserve">CRIT-002 — hidden-assumption (material)</w:t>
      </w:r>
    </w:p>
    <w:p>
      <w:r>
        <w:rPr>
          <w:b/>
        </w:rPr>
        <w:t xml:space="preserve">Steelmanned position:</w:t>
      </w:r>
    </w:p>
    <w:p>
      <w:r>
        <w:t xml:space="preserve">The stakeholder mapping treats BMDV's March 2026 welcome as a durable policy stance, but BMDV welcome statements have reversed within 24 months in 4 of 7 tracked cases since 2022 and there is no explicit contingency in the position paper if the welcome cools.</w:t>
      </w:r>
    </w:p>
    <w:p>
      <w:r>
        <w:rPr>
          <w:b/>
        </w:rPr>
        <w:t xml:space="preserve">Implication if true:</w:t>
      </w:r>
    </w:p>
    <w:p>
      <w:r>
        <w:t xml:space="preserve">If BMDV cools, the residency commitment stops functioning as a shield and starts functioning as a pre-committed cost with no upside — the calculation the position paper rests on inverts.</w:t>
      </w:r>
    </w:p>
    <w:p>
      <w:r>
        <w:rPr>
          <w:b/>
        </w:rPr>
        <w:t xml:space="preserve">Suggested revision:</w:t>
      </w:r>
    </w:p>
    <w:p>
      <w:r>
        <w:t xml:space="preserve">Add a BMDV-stability contingency section that pre-commits to a phased retreat if the welcome is publicly withdrawn.</w:t>
      </w:r>
    </w:p>
    <w:p>
      <w:r>
        <w:rPr>
          <w:b/>
        </w:rPr>
        <w:t xml:space="preserve">Counter-evidence:</w:t>
      </w:r>
    </w:p>
    <w:p>
      <w:r>
        <w:t xml:space="preserve">BMDV welcome statements — consistency track record — https://www.reuters.com/critique-bmdv-consistency</w:t>
      </w:r>
    </w:p>
    <w:p>
      <w:pPr>
        <w:pStyle w:val="Heading3"/>
      </w:pPr>
      <w:r>
        <w:t xml:space="preserve">CRIT-003 — risk-underestimated (material)</w:t>
      </w:r>
    </w:p>
    <w:p>
      <w:r>
        <w:rPr>
          <w:b/>
        </w:rPr>
        <w:t xml:space="preserve">Steelmanned position:</w:t>
      </w:r>
    </w:p>
    <w:p>
      <w:r>
        <w:t xml:space="preserve">Verdi's engagement threshold is treated as fixed at 20 staff in the risks section, but Verdi's material engagement threshold has drifted downward from 30 to 15 staff between 2023 and 2026 and the position paper's plan crosses 15 staff by the end of year one.</w:t>
      </w:r>
    </w:p>
    <w:p>
      <w:r>
        <w:rPr>
          <w:b/>
        </w:rPr>
        <w:t xml:space="preserve">Implication if true:</w:t>
      </w:r>
    </w:p>
    <w:p>
      <w:r>
        <w:t xml:space="preserve">If Verdi's threshold has already crossed 15, the year-one hiring plan crosses it too and triggers Verdi engagement in the same quarter as the public position is published.</w:t>
      </w:r>
    </w:p>
    <w:p>
      <w:r>
        <w:rPr>
          <w:b/>
        </w:rPr>
        <w:t xml:space="preserve">Suggested revision:</w:t>
      </w:r>
    </w:p>
    <w:p>
      <w:r>
        <w:t xml:space="preserve">Bring the Verdi engagement plan forward and reduce year-one hiring to a hard cap of 14 staff.</w:t>
      </w:r>
    </w:p>
    <w:p>
      <w:r>
        <w:rPr>
          <w:b/>
        </w:rPr>
        <w:t xml:space="preserve">Counter-evidence:</w:t>
      </w:r>
    </w:p>
    <w:p>
      <w:r>
        <w:t xml:space="preserve">Verdi hiring thresholds have drifted downward — https://www.handelsblatt.com/critique-verdi-threshold-drift</w:t>
      </w:r>
    </w:p>
    <w:p>
      <w:pPr>
        <w:pStyle w:val="Heading3"/>
      </w:pPr>
      <w:r>
        <w:t xml:space="preserve">CRIT-004 — missing-perspective (material)</w:t>
      </w:r>
    </w:p>
    <w:p>
      <w:r>
        <w:rPr>
          <w:b/>
        </w:rPr>
        <w:t xml:space="preserve">Steelmanned position:</w:t>
      </w:r>
    </w:p>
    <w:p>
      <w:r>
        <w:t xml:space="preserve">The stakeholder landscape omits the Länder-level data protection authorities in Bavaria and Baden-Württemberg despite the position paper committing to actions those authorities are known to interpret more strictly than BfDI, and the position may be judged non-compliant by a Land authority while remaining compliant at federal level.</w:t>
      </w:r>
    </w:p>
    <w:p>
      <w:r>
        <w:rPr>
          <w:b/>
        </w:rPr>
        <w:t xml:space="preserve">Implication if true:</w:t>
      </w:r>
    </w:p>
    <w:p>
      <w:r>
        <w:t xml:space="preserve">A Land-level challenge would fracture the coherent position across jurisdictions, forcing per-Land amendments that undermine the paper's headline commitments.</w:t>
      </w:r>
    </w:p>
    <w:p>
      <w:r>
        <w:rPr>
          <w:b/>
        </w:rPr>
        <w:t xml:space="preserve">Suggested revision:</w:t>
      </w:r>
    </w:p>
    <w:p>
      <w:r>
        <w:t xml:space="preserve">Add a Länder-level stakeholder subsection covering Bavaria and Baden-Württemberg and pre-commit to engaging their DPAs within 90 days of launch.</w:t>
      </w:r>
    </w:p>
    <w:p>
      <w:r>
        <w:rPr>
          <w:b/>
        </w:rPr>
        <w:t xml:space="preserve">Counter-evidence:</w:t>
      </w:r>
    </w:p>
    <w:p>
      <w:r>
        <w:t xml:space="preserve">SOURCE_MISSING — searched for: Land-level data protection authority interpretations vs BfDI foreign SaaS 2025-2026</w:t>
      </w:r>
    </w:p>
    <w:p>
      <w:pPr>
        <w:pStyle w:val="Heading3"/>
      </w:pPr>
      <w:r>
        <w:t xml:space="preserve">CRIT-005 — temporal-blind-spot (minor)</w:t>
      </w:r>
    </w:p>
    <w:p>
      <w:r>
        <w:rPr>
          <w:b/>
        </w:rPr>
        <w:t xml:space="preserve">Steelmanned position:</w:t>
      </w:r>
    </w:p>
    <w:p>
      <w:r>
        <w:t xml:space="preserve">The rationale rests on the cross-party Bundestag consensus on digital sovereignty being durable, but German coalition composition shifts every four years and the current consensus may not survive the next Bundestag election in a way the paper anticipates.</w:t>
      </w:r>
    </w:p>
    <w:p>
      <w:r>
        <w:rPr>
          <w:b/>
        </w:rPr>
        <w:t xml:space="preserve">Implication if true:</w:t>
      </w:r>
    </w:p>
    <w:p>
      <w:r>
        <w:t xml:space="preserve">If the consensus fractures on next-cycle party lines, the position paper's assumption that procurement guidance stabilises around EU-established providers breaks.</w:t>
      </w:r>
    </w:p>
    <w:p>
      <w:r>
        <w:rPr>
          <w:b/>
        </w:rPr>
        <w:t xml:space="preserve">Suggested revision:</w:t>
      </w:r>
    </w:p>
    <w:p>
      <w:r>
        <w:t xml:space="preserve">Add a pre-election contingency paragraph acknowledging cross-party consensus is contingent on the current coalition.</w:t>
      </w:r>
    </w:p>
    <w:p>
      <w:r>
        <w:rPr>
          <w:b/>
        </w:rPr>
        <w:t xml:space="preserve">Counter-evidence:</w:t>
      </w:r>
    </w:p>
    <w:p>
      <w:r>
        <w:t xml:space="preserve">SOURCE_MISSING — searched for: durability of Bundestag cross-party consensus on digital sovereignty across electoral cycles</w:t>
      </w:r>
    </w:p>
    <w:p>
      <w:pPr>
        <w:pStyle w:val="Heading2"/>
      </w:pPr>
      <w:r>
        <w:t xml:space="preserve">Appendix A — Findings</w:t>
      </w:r>
    </w:p>
    <w:p>
      <w:pPr>
        <w:pStyle w:val="Heading3"/>
      </w:pPr>
      <w:r>
        <w:t xml:space="preserve">Finding 1</w:t>
      </w:r>
    </w:p>
    <w:p>
      <w:r>
        <w:t xml:space="preserve">Claim: The German Federal Ministry for Digital Affairs has publicly encouraged foreign SaaS entrants that commit to EU-based data residency in 2026.</w:t>
      </w:r>
    </w:p>
    <w:p>
      <w:r>
        <w:t xml:space="preserve">Evidence: Ministry press release from 12 March 2026 stating openness paired with residency expectations.</w:t>
      </w:r>
    </w:p>
    <w:p>
      <w:r>
        <w:t xml:space="preserve">Source: Bundesministerium für Digitales — Pressemitteilung 12.03.2026 — https://www.bmdv.bund.de/pressemitteilungen/2026/03/12-saas-marktzugang</w:t>
      </w:r>
    </w:p>
    <w:p>
      <w:pPr>
        <w:pStyle w:val="Heading3"/>
      </w:pPr>
      <w:r>
        <w:t xml:space="preserve">Finding 2</w:t>
      </w:r>
    </w:p>
    <w:p>
      <w:r>
        <w:t xml:space="preserve">Claim: BfDI's 2026 enforcement plan names foreign SaaS providers as a priority sector for GDPR audits.</w:t>
      </w:r>
    </w:p>
    <w:p>
      <w:r>
        <w:t xml:space="preserve">Evidence: BfDI Tätigkeitsbericht 2026 chapter 4.</w:t>
      </w:r>
    </w:p>
    <w:p>
      <w:r>
        <w:t xml:space="preserve">Source: BfDI Tätigkeitsbericht 2026 — Kapitel 4 — https://www.bfdi.bund.de/DE/Fachthemen/Inhalte/TB-2026/Kapitel-4.html</w:t>
      </w:r>
    </w:p>
    <w:p>
      <w:pPr>
        <w:pStyle w:val="Heading3"/>
      </w:pPr>
      <w:r>
        <w:t xml:space="preserve">Finding 3</w:t>
      </w:r>
    </w:p>
    <w:p>
      <w:r>
        <w:t xml:space="preserve">Claim: Cross-party Bundestag support for 'digital sovereignty' means procurement preferences may tilt toward EU vendors in 2026-2027.</w:t>
      </w:r>
    </w:p>
    <w:p>
      <w:r>
        <w:t xml:space="preserve">Evidence: Bundestag protocol 20/187 debate on digital sovereignty (18 June 2026).</w:t>
      </w:r>
    </w:p>
    <w:p>
      <w:r>
        <w:t xml:space="preserve">Source: Plenarprotokoll 20/187 — Debatte Digitale Souveränität — https://www.bundestag.de/protokolle/20-187-digital-sovereignty</w:t>
      </w:r>
    </w:p>
    <w:p>
      <w:pPr>
        <w:pStyle w:val="Heading3"/>
      </w:pPr>
      <w:r>
        <w:t xml:space="preserve">Finding 4</w:t>
      </w:r>
    </w:p>
    <w:p>
      <w:r>
        <w:t xml:space="preserve">Claim: Corporate affairs teams entering Germany typically need 6 to 9 months to establish credible standing with Berlin policy stakeholders.</w:t>
      </w:r>
    </w:p>
    <w:p>
      <w:r>
        <w:t xml:space="preserve">Evidence: Public Affairs Council 2025 handbook on entering the German policy environment.</w:t>
      </w:r>
    </w:p>
    <w:p>
      <w:r>
        <w:t xml:space="preserve">Source: Entering the German Policy Environment — 2025 Handbook — https://pac.org/handbook/germany-entry-2025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Sources</w:t>
      </w:r>
    </w:p>
    <w:p>
      <w:r>
        <w:t xml:space="preserve">• Bavarian and Baden-Württemberg data protection stances diverge from BfDI — https://www.ft.com/content/bayern-baden-wuerttemberg-data-protection-2026 (accessed 2026-08-10T14:18:00Z)</w:t>
      </w:r>
    </w:p>
    <w:p>
      <w:r>
        <w:t xml:space="preserve">• BfDI Tätigkeitsbericht 2026 — Kapitel 4 — https://www.bfdi.bund.de/DE/Fachthemen/Inhalte/TB-2026/Kapitel-4.html (accessed 2026-08-17T11:12:00Z)</w:t>
      </w:r>
    </w:p>
    <w:p>
      <w:r>
        <w:t xml:space="preserve">• BMDV reversals of prior welcome — past cases — https://www.ft.com/content/bmdv-reversals-past-cases-2024 (accessed 2026-08-12T15:19:00Z)</w:t>
      </w:r>
    </w:p>
    <w:p>
      <w:r>
        <w:t xml:space="preserve">• BMDV welcome statements — consistency track record — https://www.reuters.com/critique-bmdv-consistency (accessed 2026-08-14T13:00:00Z)</w:t>
      </w:r>
    </w:p>
    <w:p>
      <w:r>
        <w:t xml:space="preserve">• BMDV welcomes foreign SaaS with conditions — https://www.reuters.com/technology/bmdv-conditional-welcome-saas-2026 (accessed 2026-08-12T15:15:00Z)</w:t>
      </w:r>
    </w:p>
    <w:p>
      <w:r>
        <w:t xml:space="preserve">• Bundesministerium für Digitales — Pressemitteilung 12.03.2026 — https://www.bmdv.bund.de/pressemitteilungen/2026/03/12-saas-marktzugang (accessed 2026-08-17T11:04:00Z)</w:t>
      </w:r>
    </w:p>
    <w:p>
      <w:r>
        <w:t xml:space="preserve">• Business press coverage remains a top influence on DACH C-suite decisions — https://www.reuters.com/business/media/business-press-influence-c-suite-decisions-2025 (accessed 2026-08-14T13:29:00Z)</w:t>
      </w:r>
    </w:p>
    <w:p>
      <w:r>
        <w:t xml:space="preserve">• Corporate Affairs 2026 Ambitions Memo — https://www.handelsblatt.com/technik/it-internet/example-corp-corporate-affairs-2026-ambitions (accessed 2026-08-17T13:04:00Z)</w:t>
      </w:r>
    </w:p>
    <w:p>
      <w:r>
        <w:t xml:space="preserve">• DACH buyer signals — 2025 preferences — https://www.reuters.com/business/media/dach-buyer-signals-preferences-2025 (accessed 2026-08-11T10:47:00Z)</w:t>
      </w:r>
    </w:p>
    <w:p>
      <w:r>
        <w:t xml:space="preserve">• eco — Presseerklärung Wettbewerb im SaaS-Markt 2026 — https://www.eco.de/presse/2026/eco-begruesst-wettbewerb-im-saas-markt (accessed 2026-08-17T13:45:00Z)</w:t>
      </w:r>
    </w:p>
    <w:p>
      <w:r>
        <w:t xml:space="preserve">• eco membership signal value for foreign SaaS providers — https://www.ft.com/content/eco-membership-signal-value-foreign-saas-2025 (accessed 2026-08-11T10:41:00Z)</w:t>
      </w:r>
    </w:p>
    <w:p>
      <w:r>
        <w:t xml:space="preserve">• Entering the German Policy Environment — 2025 Handbook — https://pac.org/handbook/germany-entry-2025 (accessed 2026-08-17T11:33:00Z)</w:t>
      </w:r>
    </w:p>
    <w:p>
      <w:r>
        <w:t xml:space="preserve">• Entering the German Policy Environment — 2025 Handbook — https://www.pac.org/handbook/germany-entry-2025 (accessed 2026-08-14T14:01:00Z)</w:t>
      </w:r>
    </w:p>
    <w:p>
      <w:r>
        <w:t xml:space="preserve">• EU data residency cost overruns exceed benchmarks — https://www.ft.com/critique-eu-residency-cost-overrun (accessed 2026-08-15T11:00:00Z)</w:t>
      </w:r>
    </w:p>
    <w:p>
      <w:r>
        <w:t xml:space="preserve">• EU data residency costs bite SaaS providers — https://www.bloomberg.com/news/saas-eu-data-residency-costs-2025 (accessed 2026-08-09T09:17:00Z)</w:t>
      </w:r>
    </w:p>
    <w:p>
      <w:r>
        <w:t xml:space="preserve">• EU-US data privacy framework faces CJEU review in 2026 — https://www.reuters.com/technology/eu-us-data-framework-cjeu-review-2026 (accessed 2026-08-09T09:12:00Z)</w:t>
      </w:r>
    </w:p>
    <w:p>
      <w:r>
        <w:t xml:space="preserve">• First-impression effect on vendor adoption timelines — https://www.ft.com/content/first-impression-effect-vendor-adoption-2024 (accessed 2026-08-14T13:34:00Z)</w:t>
      </w:r>
    </w:p>
    <w:p>
      <w:r>
        <w:t xml:space="preserve">• Germany drafts digital sovereignty procurement guidance — https://www.reuters.com/world/europe/germany-digital-sovereignty-procurement-2026 (accessed 2026-08-15T11:04:00Z)</w:t>
      </w:r>
    </w:p>
    <w:p>
      <w:r>
        <w:t xml:space="preserve">• Handelsblatt — Ausländische SaaS-Anbieter drängen nach Deutschland — https://www.handelsblatt.com/technik/it-internet/saas-markteintritt-auslaendisch-2026 (accessed 2026-08-17T13:29:00Z)</w:t>
      </w:r>
    </w:p>
    <w:p>
      <w:r>
        <w:t xml:space="preserve">• IDC Germany Mid-Market SaaS Tracker — Q1 2026 — https://www.idc.com/getdoc.jsp?containerId=DE-MidMarket-SaaS-Q1-2026 (accessed 2026-08-17T13:53:00Z)</w:t>
      </w:r>
    </w:p>
    <w:p>
      <w:r>
        <w:t xml:space="preserve">• Länder-level interpretation divergence on SaaS providers — https://www.ft.com/content/land-level-authority-interpretations-saas-2024 (accessed 2026-08-10T14:23:00Z)</w:t>
      </w:r>
    </w:p>
    <w:p>
      <w:r>
        <w:t xml:space="preserve">• Peer networks and corporate affairs effectiveness — https://www.reuters.com/world/europe/corporate-affairs-peer-networks-effect-2024 (accessed 2026-08-08T16:08:00Z)</w:t>
      </w:r>
    </w:p>
    <w:p>
      <w:r>
        <w:t xml:space="preserve">• Plenarprotokoll 20/187 — Debatte Digitale Souveränität — https://www.bundestag.de/protokolle/20-187-digital-sovereignty (accessed 2026-08-17T11:20:00Z)</w:t>
      </w:r>
    </w:p>
    <w:p>
      <w:r>
        <w:t xml:space="preserve">• Public Affairs Council DACH — value for new entrants — https://www.ft.com/content/public-affairs-council-dach-value-2025 (accessed 2026-08-08T16:03:00Z)</w:t>
      </w:r>
    </w:p>
    <w:p>
      <w:r>
        <w:t xml:space="preserve">• Transitional data-transfer arrangements — what foreign SaaS providers can safely commit to — https://www.ft.com/content/eu-us-data-framework-transitional-arrangements (accessed 2026-08-11T09:12:00Z)</w:t>
      </w:r>
    </w:p>
    <w:p>
      <w:r>
        <w:t xml:space="preserve">• Verdi — Positionen zur Digitalisierung 2026 — https://www.verdi.de/themen/digitalisierung/positionen-2026 (accessed 2026-08-17T13:38:00Z)</w:t>
      </w:r>
    </w:p>
    <w:p>
      <w:r>
        <w:t xml:space="preserve">• Verdi hiring thresholds have drifted downward — https://www.handelsblatt.com/critique-verdi-threshold-drift (accessed 2026-08-13T15:00:00Z)</w:t>
      </w:r>
    </w:p>
    <w:p>
      <w:r>
        <w:t xml:space="preserve">• Verdi industrial action against tech employers in Germany — https://www.ft.com/content/verdi-industrial-action-tech-employers-2024 (accessed 2026-08-13T09:56:00Z)</w:t>
      </w:r>
    </w:p>
    <w:p>
      <w:r>
        <w:t xml:space="preserve">• Verdi sharpens rhetoric on foreign digital employers — https://www.reuters.com/world/europe/verdi-foreign-digital-employers-2026 (accessed 2026-08-13T09:52:00Z)</w:t>
      </w:r>
    </w:p>
    <w:p>
      <w:r>
        <w:t xml:space="preserve">• When EU public procurement excludes foreign SaaS — sizing the impact — https://www.ft.com/content/eu-public-procurement-saas-exclusion-2025 (accessed 2026-08-15T11:09:00Z)</w:t>
      </w:r>
    </w:p>
    <w:p>
      <w:pPr>
        <w:pStyle w:val="Heading2"/>
      </w:pPr>
      <w:r>
        <w:t xml:space="preserve">Sourcing Report</w:t>
      </w:r>
    </w:p>
    <w:p>
      <w:r>
        <w:t xml:space="preserve">Policy: strict. Total items: 33. OK: 28, stale: 0, untrusted: 0, duplicated: 3,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