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69.png" ContentType="image/png"/>
  <Override PartName="/word/media/rId86.png" ContentType="image/png"/>
  <Override PartName="/word/media/rId96.png" ContentType="image/png"/>
  <Override PartName="/word/media/rId59.png" ContentType="image/png"/>
  <Override PartName="/word/media/rId91.png" ContentType="image/png"/>
  <Override PartName="/word/media/rId76.png" ContentType="image/png"/>
  <Override PartName="/word/media/rId21.png" ContentType="image/png"/>
  <Override PartName="/word/media/rId80.png" ContentType="image/png"/>
  <Override PartName="/word/media/rId101.png" ContentType="image/png"/>
  <Override PartName="/word/media/rId105.png" ContentType="image/png"/>
  <Override PartName="/word/media/rId109.png" ContentType="image/png"/>
  <Override PartName="/word/media/rId113.png" ContentType="image/png"/>
  <Override PartName="/word/media/rId26.png" ContentType="image/png"/>
  <Override PartName="/word/media/rId118.png" ContentType="image/png"/>
  <Override PartName="/word/media/rId30.png" ContentType="image/png"/>
  <Override PartName="/word/media/rId34.png" ContentType="image/png"/>
  <Override PartName="/word/media/rId4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Multimodal Symphony: Data analysis</w:t>
      </w:r>
    </w:p>
    <w:p>
      <w:pPr>
        <w:pStyle w:val="Date"/>
      </w:pPr>
      <w:r>
        <w:t xml:space="preserve">2025-02-12</w:t>
      </w:r>
    </w:p>
    <w:p>
      <w:pPr>
        <w:pStyle w:val="AbstractTitle"/>
      </w:pPr>
      <w:r>
        <w:t xml:space="preserve">Abstract</w:t>
      </w:r>
    </w:p>
    <w:p>
      <w:pPr>
        <w:pStyle w:val="Abstract"/>
      </w:pPr>
      <w:r>
        <w:t xml:space="preserve">In recent decades, neuroscientific and psychological research has traced direct relationships between taste and auditory perceptions. This article explores multimodal generative models capable of converting taste information into music, building on this foundational research. We provide a brief review of the state of the art in this field, highlighting key findings and methodologies. Additionally, we present an experiment in which we fine-tuned a generative music model (MusicGEN) to generate music based on detailed taste descriptions provided for each musical piece. The results are promising: the fine-tuned model produces music that more coherently reflects the input taste descriptions compared to the non-fine-tuned model. This study represents a significant step towards understanding and developing embodied interactions between AI, sound, and taste, opening new possibilities in the field of generative AI.</w:t>
      </w:r>
    </w:p>
    <w:bookmarkStart w:id="39" w:name="demographic-analysis"/>
    <w:p>
      <w:pPr>
        <w:pStyle w:val="Heading2"/>
      </w:pPr>
      <w:r>
        <w:t xml:space="preserve">Demographic Analysis</w:t>
      </w:r>
    </w:p>
    <w:p>
      <w:pPr>
        <w:pStyle w:val="FirstParagraph"/>
      </w:pPr>
      <w:r>
        <w:t xml:space="preserve">The data used for this study were collected through an</w:t>
      </w:r>
      <w:r>
        <w:t xml:space="preserve"> </w:t>
      </w:r>
      <w:hyperlink r:id="rId20">
        <w:r>
          <w:rPr>
            <w:rStyle w:val="Hyperlink"/>
          </w:rPr>
          <w:t xml:space="preserve">online survey</w:t>
        </w:r>
      </w:hyperlink>
      <w:r>
        <w:t xml:space="preserve"> </w:t>
      </w:r>
      <w:r>
        <w:t xml:space="preserve">via PsyToolkit’s web platform</w:t>
      </w:r>
      <w:r>
        <w:t xml:space="preserve"> </w:t>
      </w:r>
      <w:r>
        <w:t xml:space="preserve">[1]</w:t>
      </w:r>
      <w:r>
        <w:t xml:space="preserve">. Inclusion criteria were that participants had to be over eighteen years old and have access to a device capable of playing audio files.</w:t>
      </w:r>
    </w:p>
    <w:p>
      <w:pPr>
        <w:pStyle w:val="BodyText"/>
      </w:pPr>
      <w:r>
        <w:t xml:space="preserve">Of 141 people reached, only 111 completed the questionnaire (61 males, 46 females, 2 other, 2 prefer not to say, see</w:t>
      </w:r>
      <w:r>
        <w:t xml:space="preserve"> </w:t>
      </w:r>
      <w:hyperlink w:anchor="fig-demographic-info-1">
        <w:r>
          <w:rPr>
            <w:rStyle w:val="Hyperlink"/>
          </w:rPr>
          <w:t xml:space="preserve">Figure 1 (a)</w:t>
        </w:r>
      </w:hyperlink>
      <w:r>
        <w:t xml:space="preserve">), null or partial answers were considered as withdrawal from the questionnaire, therefore only complete answers were taken into consideration for the following analysis.</w:t>
      </w:r>
    </w:p>
    <w:bookmarkStart w:id="38" w:name="fig-demographic-info"/>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5" w:name="fig-demographic-info-1"/>
                <w:p>
                  <w:pPr>
                    <w:jc w:val="center"/>
                    <w:jc w:val="left"/>
                  </w:pPr>
                  <w:r>
                    <w:drawing>
                      <wp:inline>
                        <wp:extent cx="2971800" cy="2377440"/>
                        <wp:effectExtent b="0" l="0" r="0" t="0"/>
                        <wp:docPr descr="" title="" id="22" name="Picture"/>
                        <a:graphic>
                          <a:graphicData uri="http://schemas.openxmlformats.org/drawingml/2006/picture">
                            <pic:pic>
                              <pic:nvPicPr>
                                <pic:cNvPr descr="index_files/figure-docx/unnamed-chunk-2-1.png" id="23" name="Picture"/>
                                <pic:cNvPicPr>
                                  <a:picLocks noChangeArrowheads="1" noChangeAspect="1"/>
                                </pic:cNvPicPr>
                              </pic:nvPicPr>
                              <pic:blipFill>
                                <a:blip r:embed="rId21"/>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(a) Gender distribution of participants.</w:t>
                  </w:r>
                </w:p>
                <w:bookmarkEnd w:id="25"/>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demographic-info-2"/>
                <w:p>
                  <w:pPr>
                    <w:jc w:val="center"/>
                    <w:jc w:val="left"/>
                  </w:pPr>
                  <w:r>
                    <w:drawing>
                      <wp:inline>
                        <wp:extent cx="2971800" cy="2377440"/>
                        <wp:effectExtent b="0" l="0" r="0" t="0"/>
                        <wp:docPr descr="" title="" id="27" name="Picture"/>
                        <a:graphic>
                          <a:graphicData uri="http://schemas.openxmlformats.org/drawingml/2006/picture">
                            <pic:pic>
                              <pic:nvPicPr>
                                <pic:cNvPr descr="index_files/figure-docx/unnamed-chunk-3-1.png" id="28" name="Picture"/>
                                <pic:cNvPicPr>
                                  <a:picLocks noChangeArrowheads="1" noChangeAspect="1"/>
                                </pic:cNvPicPr>
                              </pic:nvPicPr>
                              <pic:blipFill>
                                <a:blip r:embed="rId26"/>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(b) Distribution of participants’ ethnic backgrounds.</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3" w:name="fig-demographic-info-3"/>
                <w:p>
                  <w:pPr>
                    <w:jc w:val="center"/>
                    <w:jc w:val="left"/>
                  </w:pPr>
                  <w:r>
                    <w:drawing>
                      <wp:inline>
                        <wp:extent cx="2971800" cy="2377440"/>
                        <wp:effectExtent b="0" l="0" r="0" t="0"/>
                        <wp:docPr descr="" title="" id="31" name="Picture"/>
                        <a:graphic>
                          <a:graphicData uri="http://schemas.openxmlformats.org/drawingml/2006/picture">
                            <pic:pic>
                              <pic:nvPicPr>
                                <pic:cNvPr descr="index_files/figure-docx/unnamed-chunk-4-1.png" id="32" name="Picture"/>
                                <pic:cNvPicPr>
                                  <a:picLocks noChangeArrowheads="1" noChangeAspect="1"/>
                                </pic:cNvPicPr>
                              </pic:nvPicPr>
                              <pic:blipFill>
                                <a:blip r:embed="rId30"/>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(c) Distribution of participants’ hearing experiences.</w:t>
                  </w:r>
                </w:p>
                <w:bookmarkEnd w:id="33"/>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7" w:name="fig-demographic-info-4"/>
                <w:p>
                  <w:pPr>
                    <w:jc w:val="center"/>
                    <w:jc w:val="left"/>
                  </w:pPr>
                  <w:r>
                    <w:drawing>
                      <wp:inline>
                        <wp:extent cx="2971800" cy="2377440"/>
                        <wp:effectExtent b="0" l="0" r="0" t="0"/>
                        <wp:docPr descr="" title="" id="35" name="Picture"/>
                        <a:graphic>
                          <a:graphicData uri="http://schemas.openxmlformats.org/drawingml/2006/picture">
                            <pic:pic>
                              <pic:nvPicPr>
                                <pic:cNvPr descr="index_files/figure-docx/unnamed-chunk-5-1.png" id="36" name="Picture"/>
                                <pic:cNvPicPr>
                                  <a:picLocks noChangeArrowheads="1" noChangeAspect="1"/>
                                </pic:cNvPicPr>
                              </pic:nvPicPr>
                              <pic:blipFill>
                                <a:blip r:embed="rId34"/>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(d) Distribution of participants’ eating experiences.</w:t>
                  </w:r>
                </w:p>
                <w:bookmarkEnd w:id="37"/>
              </w:tc>
            </w:tr>
          </w:tbl>
          <w:p/>
        </w:tc>
      </w:tr>
    </w:tbl>
    <w:p>
      <w:pPr>
        <w:pStyle w:val="BodyText"/>
      </w:pPr>
      <w:pPr>
        <w:spacing w:before="200"/>
        <w:pStyle w:val="ImageCaption"/>
      </w:pPr>
      <w:r>
        <w:t xml:space="preserve">Figure 1: Demographic characteristics of the study’s participants.</w:t>
      </w:r>
    </w:p>
    <w:bookmarkEnd w:id="38"/>
    <w:p>
      <w:pPr>
        <w:pStyle w:val="BodyText"/>
      </w:pPr>
      <w:r>
        <w:t xml:space="preserve">Overall the reached population has a mean age of 32 years, whit a maximum of 75 and a minimum of 19. The mean time spent on the survey was 9 minutes, with a standard deviation of 3.3. Along with age, gender and execution time also data about musical and eating experience have been collected:</w:t>
      </w:r>
      <w:r>
        <w:t xml:space="preserve"> </w:t>
      </w:r>
      <w:hyperlink w:anchor="fig-demographic-info-2">
        <w:r>
          <w:rPr>
            <w:rStyle w:val="Hyperlink"/>
          </w:rPr>
          <w:t xml:space="preserve">Figure 1 (b)</w:t>
        </w:r>
      </w:hyperlink>
      <w:r>
        <w:t xml:space="preserve"> </w:t>
      </w:r>
      <w:r>
        <w:t xml:space="preserve">displays the ethnicity distribution of the population, the majority of participants recognize themself as</w:t>
      </w:r>
      <w:r>
        <w:t xml:space="preserve"> </w:t>
      </w:r>
      <w:r>
        <w:rPr>
          <w:i/>
          <w:iCs/>
        </w:rPr>
        <w:t xml:space="preserve">White/European American</w:t>
      </w:r>
      <w:r>
        <w:t xml:space="preserve">, participants have an almost equally distributed experience in listening to music (see</w:t>
      </w:r>
      <w:r>
        <w:t xml:space="preserve"> </w:t>
      </w:r>
      <w:hyperlink w:anchor="fig-demographic-info-3">
        <w:r>
          <w:rPr>
            <w:rStyle w:val="Hyperlink"/>
          </w:rPr>
          <w:t xml:space="preserve">Figure 1 (c)</w:t>
        </w:r>
      </w:hyperlink>
      <w:r>
        <w:t xml:space="preserve">), while just one participant recognized himself as an experienced eater and the major part of the sample population declared to be not-experienced in tasting food (</w:t>
      </w:r>
      <w:hyperlink w:anchor="fig-demographic-info-4">
        <w:r>
          <w:rPr>
            <w:rStyle w:val="Hyperlink"/>
          </w:rPr>
          <w:t xml:space="preserve">Figure 1 (d)</w:t>
        </w:r>
      </w:hyperlink>
      <w:r>
        <w:t xml:space="preserve">).</w:t>
      </w:r>
    </w:p>
    <w:bookmarkEnd w:id="39"/>
    <w:bookmarkStart w:id="68" w:name="model-preference-analysis"/>
    <w:p>
      <w:pPr>
        <w:pStyle w:val="Heading2"/>
      </w:pPr>
      <w:r>
        <w:t xml:space="preserve">Model Preference Analysis</w:t>
      </w:r>
    </w:p>
    <w:p>
      <w:pPr>
        <w:pStyle w:val="FirstParagraph"/>
      </w:pPr>
      <w:r>
        <w:t xml:space="preserve">The first task in the survey involved participants listening to two audio clips, each corresponding to a taste description chosen randomly from</w:t>
      </w:r>
      <w:r>
        <w:t xml:space="preserve"> </w:t>
      </w:r>
      <w:r>
        <w:rPr>
          <w:i/>
          <w:iCs/>
        </w:rPr>
        <w:t xml:space="preserve">sweet</w:t>
      </w:r>
      <w:r>
        <w:t xml:space="preserve">,</w:t>
      </w:r>
      <w:r>
        <w:t xml:space="preserve"> </w:t>
      </w:r>
      <w:r>
        <w:rPr>
          <w:i/>
          <w:iCs/>
        </w:rPr>
        <w:t xml:space="preserve">sour</w:t>
      </w:r>
      <w:r>
        <w:t xml:space="preserve">,</w:t>
      </w:r>
      <w:r>
        <w:t xml:space="preserve"> </w:t>
      </w:r>
      <w:r>
        <w:rPr>
          <w:i/>
          <w:iCs/>
        </w:rPr>
        <w:t xml:space="preserve">bitter</w:t>
      </w:r>
      <w:r>
        <w:t xml:space="preserve">, and</w:t>
      </w:r>
      <w:r>
        <w:t xml:space="preserve"> </w:t>
      </w:r>
      <w:r>
        <w:rPr>
          <w:i/>
          <w:iCs/>
        </w:rPr>
        <w:t xml:space="preserve">salty</w:t>
      </w:r>
      <w:r>
        <w:t xml:space="preserve">. The goal was to determine which audio sample best matched the given taste description. The two clips were generated by different versions of the MusicGEN model</w:t>
      </w:r>
      <w:r>
        <w:t xml:space="preserve"> </w:t>
      </w:r>
      <w:r>
        <w:t xml:space="preserve">[2]</w:t>
      </w:r>
      <w:r>
        <w:t xml:space="preserve">: a fine-tuned version and the original</w:t>
      </w:r>
      <w:r>
        <w:t xml:space="preserve"> </w:t>
      </w:r>
      <w:r>
        <w:rPr>
          <w:rStyle w:val="FootnoteReference"/>
        </w:rPr>
        <w:footnoteReference w:id="40"/>
      </w:r>
      <w:r>
        <w:t xml:space="preserve">, base model, released by Meta. Participants were asked to express their preference for the first or second clip by moving a slider ranging from 0 to 10, where 0 indicated a strong preference for the first clip and 10 indicated a strong preference for the second,</w:t>
      </w:r>
      <w:r>
        <w:t xml:space="preserve"> </w:t>
      </w:r>
      <w:hyperlink w:anchor="fig-task1">
        <w:r>
          <w:rPr>
            <w:rStyle w:val="Hyperlink"/>
          </w:rPr>
          <w:t xml:space="preserve">Figure 2</w:t>
        </w:r>
      </w:hyperlink>
      <w:r>
        <w:t xml:space="preserve"> </w:t>
      </w:r>
      <w:r>
        <w:t xml:space="preserve">shows the survey’s first question interface.</w:t>
      </w:r>
    </w:p>
    <w:tbl>
      <w:tblPr>
        <w:tblStyle w:val="Table"/>
        <w:tblW w:type="pct" w:w="5000"/>
        <w:tblLayout w:type="fixed"/>
        <w:tblLook w:firstRow="0" w:lastRow="0" w:firstColumn="0" w:lastColumn="0" w:noHBand="0" w:noVBand="0" w:val="0000"/>
      </w:tblPr>
      <w:tblGrid>
        <w:gridCol w:w="7920"/>
      </w:tblGrid>
      <w:tr>
        <w:tc>
          <w:tcPr/>
          <w:bookmarkStart w:id="44" w:name="fig-task1"/>
          <w:p>
            <w:pPr>
              <w:pStyle w:val="Compact"/>
              <w:jc w:val="center"/>
            </w:pPr>
            <w:r>
              <w:drawing>
                <wp:inline>
                  <wp:extent cx="5334000" cy="6207672"/>
                  <wp:effectExtent b="0" l="0" r="0" t="0"/>
                  <wp:docPr descr="" title="" id="42" name="Picture"/>
                  <a:graphic>
                    <a:graphicData uri="http://schemas.openxmlformats.org/drawingml/2006/picture">
                      <pic:pic>
                        <pic:nvPicPr>
                          <pic:cNvPr descr="assets/img/model_preference_woh.png" id="43" name="Picture"/>
                          <pic:cNvPicPr>
                            <a:picLocks noChangeArrowheads="1" noChangeAspect="1"/>
                          </pic:cNvPicPr>
                        </pic:nvPicPr>
                        <pic:blipFill>
                          <a:blip r:embed="rId41"/>
                          <a:stretch>
                            <a:fillRect/>
                          </a:stretch>
                        </pic:blipFill>
                        <pic:spPr bwMode="auto">
                          <a:xfrm>
                            <a:off x="0" y="0"/>
                            <a:ext cx="5334000" cy="62076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Screenshot of the survey’s first task interface.</w:t>
            </w:r>
          </w:p>
          <w:bookmarkEnd w:id="44"/>
        </w:tc>
      </w:tr>
    </w:tbl>
    <w:p>
      <w:pPr>
        <w:pStyle w:val="BodyText"/>
      </w:pPr>
      <w:r>
        <w:t xml:space="preserve">To ensure randomization and avoid any bias, the taste descriptions and audio clips were presented in a random order. In the analysis the scores are normalized as follows: scores from 0 to 4 are interpreted as a preference for the base model, scores between 6 and 10 indicate a preference for the fine-tuned model, and scores of 5 are treated as neutral.</w:t>
      </w:r>
    </w:p>
    <w:p>
      <w:pPr>
        <w:pStyle w:val="BodyText"/>
      </w:pPr>
      <w:r>
        <w:t xml:space="preserve">The underlying research question guiding this task was to assess if the fine tuned model output better matches taste descriptions than the sounds generated by the base model.</w:t>
      </w:r>
    </w:p>
    <w:bookmarkStart w:id="58" w:name="data-visualization"/>
    <w:p>
      <w:pPr>
        <w:pStyle w:val="Heading3"/>
      </w:pPr>
      <w:r>
        <w:t xml:space="preserve">Data Visualization</w:t>
      </w:r>
    </w:p>
    <w:p>
      <w:pPr>
        <w:pStyle w:val="FirstParagraph"/>
      </w:pPr>
      <w:r>
        <w:t xml:space="preserve">The distribution of scores across all participants is presented in</w:t>
      </w:r>
      <w:r>
        <w:t xml:space="preserve"> </w:t>
      </w:r>
      <w:hyperlink w:anchor="fig-model-pref-1">
        <w:r>
          <w:rPr>
            <w:rStyle w:val="Hyperlink"/>
          </w:rPr>
          <w:t xml:space="preserve">Figure 3 (a)</w:t>
        </w:r>
      </w:hyperlink>
      <w:r>
        <w:t xml:space="preserve">. The histogram and density plot show the spread of scores, allowing us to visually assess the preference for one model over the other. The base model and fine-tuned model preferences are expected to manifest as peaks around the lower and higher end of the score range, respectively.</w:t>
      </w:r>
    </w:p>
    <w:bookmarkStart w:id="57" w:name="fig-model-pref"/>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8" w:name="fig-model-pref-1"/>
                <w:p>
                  <w:pPr>
                    <w:jc w:val="center"/>
                    <w:jc w:val="left"/>
                  </w:pPr>
                  <w:r>
                    <w:drawing>
                      <wp:inline>
                        <wp:extent cx="2971800" cy="2377440"/>
                        <wp:effectExtent b="0" l="0" r="0" t="0"/>
                        <wp:docPr descr="" title="" id="46" name="Picture"/>
                        <a:graphic>
                          <a:graphicData uri="http://schemas.openxmlformats.org/drawingml/2006/picture">
                            <pic:pic>
                              <pic:nvPicPr>
                                <pic:cNvPr descr="index_files/figure-docx/unnamed-chunk-6-1.png" id="47" name="Picture"/>
                                <pic:cNvPicPr>
                                  <a:picLocks noChangeArrowheads="1" noChangeAspect="1"/>
                                </pic:cNvPicPr>
                              </pic:nvPicPr>
                              <pic:blipFill>
                                <a:blip r:embed="rId45"/>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(a) Overall evalutation of the models.</w:t>
                  </w:r>
                </w:p>
                <w:bookmarkEnd w:id="4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52" w:name="fig-model-pref-2"/>
                <w:p>
                  <w:pPr>
                    <w:jc w:val="center"/>
                    <w:jc w:val="left"/>
                  </w:pPr>
                  <w:r>
                    <w:drawing>
                      <wp:inline>
                        <wp:extent cx="5334000" cy="4267200"/>
                        <wp:effectExtent b="0" l="0" r="0" t="0"/>
                        <wp:docPr descr="" title="" id="50" name="Picture"/>
                        <a:graphic>
                          <a:graphicData uri="http://schemas.openxmlformats.org/drawingml/2006/picture">
                            <pic:pic>
                              <pic:nvPicPr>
                                <pic:cNvPr descr="index_files/figure-docx/unnamed-chunk-7-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(b) Score boxplot by taste category.</w:t>
                  </w:r>
                </w:p>
                <w:bookmarkEnd w:id="52"/>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56" w:name="fig-model-pref-3"/>
                <w:p>
                  <w:pPr>
                    <w:jc w:val="center"/>
                    <w:jc w:val="left"/>
                  </w:pPr>
                  <w:r>
                    <w:drawing>
                      <wp:inline>
                        <wp:extent cx="5334000" cy="4267200"/>
                        <wp:effectExtent b="0" l="0" r="0" t="0"/>
                        <wp:docPr descr="" title="" id="54" name="Picture"/>
                        <a:graphic>
                          <a:graphicData uri="http://schemas.openxmlformats.org/drawingml/2006/picture">
                            <pic:pic>
                              <pic:nvPicPr>
                                <pic:cNvPr descr="index_files/figure-docx/unnamed-chunk-8-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(c) Score distribution by taste category.</w:t>
                  </w:r>
                </w:p>
                <w:bookmarkEnd w:id="56"/>
              </w:tc>
            </w:tr>
          </w:tbl>
          <w:p/>
        </w:tc>
      </w:tr>
    </w:tbl>
    <w:p>
      <w:pPr>
        <w:pStyle w:val="BodyText"/>
      </w:pPr>
      <w:pPr>
        <w:spacing w:before="200"/>
        <w:pStyle w:val="ImageCaption"/>
      </w:pPr>
      <w:r>
        <w:t xml:space="preserve">Figure 3: Score distribution between the two models.</w:t>
      </w:r>
    </w:p>
    <w:bookmarkEnd w:id="57"/>
    <w:p>
      <w:pPr>
        <w:pStyle w:val="BodyText"/>
      </w:pPr>
      <w:hyperlink w:anchor="fig-model-pref-2">
        <w:r>
          <w:rPr>
            <w:rStyle w:val="Hyperlink"/>
          </w:rPr>
          <w:t xml:space="preserve">Figure 3 (b)</w:t>
        </w:r>
      </w:hyperlink>
      <w:r>
        <w:t xml:space="preserve"> </w:t>
      </w:r>
      <w:r>
        <w:t xml:space="preserve">goes further by breaking down the preferences based on the taste category described in the audio sample. Each taste category is visualized using boxplots, where the median score for each taste can be assessed. This enables us to examine whether the model preference varies depending on the taste label, with the red dashed line at a score of 5 acting as the neutral threshold.</w:t>
      </w:r>
    </w:p>
    <w:bookmarkEnd w:id="58"/>
    <w:bookmarkStart w:id="64" w:name="hypothesis-testing"/>
    <w:p>
      <w:pPr>
        <w:pStyle w:val="Heading3"/>
      </w:pPr>
      <w:r>
        <w:t xml:space="preserve">Hypothesis Testing</w:t>
      </w:r>
    </w:p>
    <w:p>
      <w:pPr>
        <w:pStyle w:val="FirstParagraph"/>
      </w:pPr>
      <w:r>
        <w:t xml:space="preserve">Next, we assess whether the average score for the audio samples significantly differs from a neutral score of 5, under the assumption that the preference for the fine-tuned model should be greater than this threshold. To do this, we need to verify whether the data follows a normal distribution.</w:t>
      </w:r>
      <w:r>
        <w:t xml:space="preserve"> </w:t>
      </w:r>
      <w:r>
        <w:t xml:space="preserve">In order to assess normality of data we applied both visual and computational methods, then firstly a Q-Q plot was generated to visually inspect the normality of the score distribution, see</w:t>
      </w:r>
      <w:r>
        <w:t xml:space="preserve"> </w:t>
      </w:r>
      <w:hyperlink w:anchor="fig-qqplot">
        <w:r>
          <w:rPr>
            <w:rStyle w:val="Hyperlink"/>
          </w:rPr>
          <w:t xml:space="preserve">Figure 4</w:t>
        </w:r>
      </w:hyperlink>
      <w:r>
        <w:t xml:space="preserve">. The resulting plot shows deviations from the expected straight line, indicating that the scores do not follow a normal distribution.</w:t>
      </w:r>
    </w:p>
    <w:bookmarkStart w:id="63" w:name="cell-fig-qqplot"/>
    <w:tbl>
      <w:tblPr>
        <w:tblStyle w:val="Table"/>
        <w:tblW w:type="pct" w:w="5000"/>
        <w:tblLayout w:type="fixed"/>
        <w:tblLook w:firstRow="0" w:lastRow="0" w:firstColumn="0" w:lastColumn="0" w:noHBand="0" w:noVBand="0" w:val="0000"/>
      </w:tblPr>
      <w:tblGrid>
        <w:gridCol w:w="7920"/>
      </w:tblGrid>
      <w:tr>
        <w:tc>
          <w:tcPr/>
          <w:bookmarkStart w:id="62" w:name="fig-qqplot"/>
          <w:p>
            <w:pPr>
              <w:pStyle w:val="Compact"/>
              <w:jc w:val="center"/>
            </w:pPr>
            <w:r>
              <w:drawing>
                <wp:inline>
                  <wp:extent cx="4620126" cy="3696101"/>
                  <wp:effectExtent b="0" l="0" r="0" t="0"/>
                  <wp:docPr descr="" title="" id="60" name="Picture"/>
                  <a:graphic>
                    <a:graphicData uri="http://schemas.openxmlformats.org/drawingml/2006/picture">
                      <pic:pic>
                        <pic:nvPicPr>
                          <pic:cNvPr descr="index_files/figure-docx/fig-qqplot-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Q-Q plot to assess the normality distribution of the collected data.</w:t>
            </w:r>
          </w:p>
          <w:bookmarkEnd w:id="62"/>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63"/>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In addition the Shapiro-Wilk test confirmed that the data significantly deviate from a normal distribution (with a resulting</w:t>
      </w:r>
      <w:r>
        <w:t xml:space="preserve"> </w:t>
      </w:r>
      <m:oMath>
        <m:r>
          <m:t>p</m:t>
        </m:r>
      </m:oMath>
      <w:r>
        <w:t xml:space="preserve">-value equals to</w:t>
      </w:r>
      <w:r>
        <w:t xml:space="preserve"> </w:t>
      </w:r>
      <m:oMath>
        <m:r>
          <m:t>2.516</m:t>
        </m:r>
        <m:r>
          <m:rPr>
            <m:sty m:val="p"/>
          </m:rPr>
          <m:t>×</m:t>
        </m:r>
        <m:sSup>
          <m:e>
            <m:r>
              <m:t>10</m:t>
            </m:r>
          </m:e>
          <m:sup>
            <m:r>
              <m:rPr>
                <m:sty m:val="p"/>
              </m:rPr>
              <m:t>−</m:t>
            </m:r>
            <m:r>
              <m:t>14</m:t>
            </m:r>
          </m:sup>
        </m:sSup>
      </m:oMath>
      <w:r>
        <w:t xml:space="preserve">). Therefore, we decide to apply the non-parametric Wilcoxon signed-rank test to see if the models preference score expressed by participants has a mean major than the null preference (score equals to five), more formally we are testing the hypothesis:</w:t>
      </w:r>
    </w:p>
    <w:p>
      <w:pPr>
        <w:pStyle w:val="BodyText"/>
      </w:pPr>
      <m:oMathPara>
        <m:oMathParaPr>
          <m:jc m:val="center"/>
        </m:oMathParaPr>
        <m:oMath>
          <m:sSub>
            <m:e>
              <m:r>
                <m:t>H</m:t>
              </m:r>
            </m:e>
            <m:sub>
              <m:r>
                <m:t>0</m:t>
              </m:r>
            </m:sub>
          </m:sSub>
          <m:r>
            <m:rPr>
              <m:sty m:val="p"/>
            </m:rPr>
            <m:t>:</m:t>
          </m:r>
          <m:r>
            <m:t>μ</m:t>
          </m:r>
          <m:r>
            <m:rPr>
              <m:sty m:val="p"/>
            </m:rPr>
            <m:t>=</m:t>
          </m:r>
          <m:r>
            <m:t>5</m:t>
          </m:r>
          <m:r>
            <m:t> </m:t>
          </m:r>
          <m:sSub>
            <m:e>
              <m:r>
                <m:t>H</m:t>
              </m:r>
            </m:e>
            <m:sub>
              <m:r>
                <m:t>1</m:t>
              </m:r>
            </m:sub>
          </m:sSub>
          <m:r>
            <m:rPr>
              <m:sty m:val="p"/>
            </m:rPr>
            <m:t>:</m:t>
          </m:r>
          <m:r>
            <m:t>μ</m:t>
          </m:r>
          <m:r>
            <m:rPr>
              <m:sty m:val="p"/>
            </m:rPr>
            <m:t>&gt;</m:t>
          </m:r>
          <m:r>
            <m:t>5</m:t>
          </m:r>
        </m:oMath>
      </m:oMathPara>
    </w:p>
    <w:p>
      <w:pPr>
        <w:pStyle w:val="FirstParagraph"/>
      </w:pPr>
      <w:r>
        <w:t xml:space="preserve">where</w:t>
      </w:r>
      <w:r>
        <w:t xml:space="preserve"> </w:t>
      </w:r>
      <m:oMath>
        <m:sSub>
          <m:e>
            <m:r>
              <m:t>H</m:t>
            </m:r>
          </m:e>
          <m:sub>
            <m:r>
              <m:t>0</m:t>
            </m:r>
          </m:sub>
        </m:sSub>
      </m:oMath>
      <w:r>
        <w:t xml:space="preserve"> </w:t>
      </w:r>
      <w:r>
        <w:t xml:space="preserve">means that there is no preference between the two models while</w:t>
      </w:r>
      <w:r>
        <w:t xml:space="preserve"> </w:t>
      </w:r>
      <m:oMath>
        <m:sSub>
          <m:e>
            <m:r>
              <m:t>H</m:t>
            </m:r>
          </m:e>
          <m:sub>
            <m:r>
              <m:t>1</m:t>
            </m:r>
          </m:sub>
        </m:sSub>
      </m:oMath>
      <w:r>
        <w:t xml:space="preserve"> </w:t>
      </w:r>
      <w:r>
        <w:t xml:space="preserve">means that the fine-tuned model is preferred over the other one with a</w:t>
      </w:r>
      <w:r>
        <w:t xml:space="preserve"> </w:t>
      </w:r>
      <m:oMath>
        <m:r>
          <m:t>95</m:t>
        </m:r>
      </m:oMath>
      <w:r>
        <w:t xml:space="preserve"> </w:t>
      </w:r>
      <w:r>
        <w:t xml:space="preserve">confidence interval.</w:t>
      </w:r>
    </w:p>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The result of the Wilcoxon test shows a</w:t>
      </w:r>
      <w:r>
        <w:t xml:space="preserve"> </w:t>
      </w:r>
      <m:oMath>
        <m:r>
          <m:t>p</m:t>
        </m:r>
      </m:oMath>
      <w:r>
        <w:t xml:space="preserve">-value of</w:t>
      </w:r>
      <w:r>
        <w:t xml:space="preserve"> </w:t>
      </w:r>
      <m:oMath>
        <m:r>
          <m:t>1.498</m:t>
        </m:r>
        <m:r>
          <m:rPr>
            <m:sty m:val="p"/>
          </m:rPr>
          <m:t>×</m:t>
        </m:r>
        <m:sSup>
          <m:e>
            <m:r>
              <m:t>10</m:t>
            </m:r>
          </m:e>
          <m:sup>
            <m:r>
              <m:rPr>
                <m:sty m:val="p"/>
              </m:rPr>
              <m:t>−</m:t>
            </m:r>
            <m:r>
              <m:t>4</m:t>
            </m:r>
          </m:sup>
        </m:sSup>
      </m:oMath>
      <w:r>
        <w:t xml:space="preserve">, which is less than</w:t>
      </w:r>
      <w:r>
        <w:t xml:space="preserve"> </w:t>
      </w:r>
      <m:oMath>
        <m:r>
          <m:t>0.05</m:t>
        </m:r>
      </m:oMath>
      <w:r>
        <w:t xml:space="preserve">, indicating that we can reject the null hypothesis and conclude that the median score is indeed significantly greater than</w:t>
      </w:r>
      <w:r>
        <w:t xml:space="preserve"> </w:t>
      </w:r>
      <m:oMath>
        <m:r>
          <m:t>5</m:t>
        </m:r>
      </m:oMath>
      <w:r>
        <w:t xml:space="preserve">. This supports the hypothesis that the participants prefer the fine-tuned model overall.</w:t>
      </w:r>
    </w:p>
    <w:bookmarkEnd w:id="64"/>
    <w:bookmarkStart w:id="67" w:name="post-hoc-analysis-by-taste"/>
    <w:p>
      <w:pPr>
        <w:pStyle w:val="Heading3"/>
      </w:pPr>
      <w:r>
        <w:t xml:space="preserve">Post-Hoc Analysis by Taste</w:t>
      </w:r>
    </w:p>
    <w:p>
      <w:pPr>
        <w:pStyle w:val="FirstParagraph"/>
      </w:pPr>
      <w:r>
        <w:t xml:space="preserve">While the Wilcoxon test confirms that the overall preference goes to the fine-tuned model the boxplots reveal a variation of the score by taste, to confirm the variation we perform separate Wilcoxon tests for each taste group (</w:t>
      </w:r>
      <w:r>
        <w:rPr>
          <w:i/>
          <w:iCs/>
        </w:rPr>
        <w:t xml:space="preserve">sweet</w:t>
      </w:r>
      <w:r>
        <w:t xml:space="preserve">,</w:t>
      </w:r>
      <w:r>
        <w:t xml:space="preserve"> </w:t>
      </w:r>
      <w:r>
        <w:rPr>
          <w:i/>
          <w:iCs/>
        </w:rPr>
        <w:t xml:space="preserve">sour</w:t>
      </w:r>
      <w:r>
        <w:t xml:space="preserve">,</w:t>
      </w:r>
      <w:r>
        <w:t xml:space="preserve"> </w:t>
      </w:r>
      <w:r>
        <w:rPr>
          <w:i/>
          <w:iCs/>
        </w:rPr>
        <w:t xml:space="preserve">bitter</w:t>
      </w:r>
      <w:r>
        <w:t xml:space="preserve">,</w:t>
      </w:r>
      <w:r>
        <w:t xml:space="preserve"> </w:t>
      </w:r>
      <w:r>
        <w:rPr>
          <w:i/>
          <w:iCs/>
        </w:rPr>
        <w:t xml:space="preserve">salty</w:t>
      </w:r>
      <w:r>
        <w:t xml:space="preserve">). We use a Bonferroni correction to adjust for the multiple comparisons and control the family-wise error rate. The results of the post-hoc tests are shown below, in</w:t>
      </w:r>
      <w:r>
        <w:t xml:space="preserve"> </w:t>
      </w:r>
      <w:hyperlink w:anchor="tbl-wilcoxon-taste">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5" w:name="tbl-wilcoxon-taste"/>
          <w:p>
            <w:pPr>
              <w:jc w:val="center"/>
            </w:pPr>
            <w:pPr>
              <w:jc w:val="start"/>
              <w:spacing w:before="200"/>
              <w:pStyle w:val="ImageCaption"/>
            </w:pPr>
            <w:r>
              <w:t xml:space="preserve">Table 1: Results of the Wilcoxon test performed on data filtered by taste.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right"/>
                    <w:jc w:val="center"/>
                  </w:pPr>
                  <w:r>
                    <w:t xml:space="preserve">p.value</w:t>
                  </w:r>
                </w:p>
              </w:tc>
              <w:tc>
                <w:tcPr/>
                <w:p>
                  <w:pPr>
                    <w:pStyle w:val="Compact"/>
                    <w:jc w:val="right"/>
                    <w:jc w:val="center"/>
                  </w:pPr>
                  <w:r>
                    <w:t xml:space="preserve">adjusted.p.value</w:t>
                  </w:r>
                </w:p>
              </w:tc>
            </w:tr>
            <w:tr>
              <w:tc>
                <w:tcPr/>
                <w:p>
                  <w:pPr>
                    <w:pStyle w:val="Compact"/>
                    <w:jc w:val="left"/>
                    <w:jc w:val="center"/>
                  </w:pPr>
                  <w:r>
                    <w:t xml:space="preserve">bitter</w:t>
                  </w:r>
                </w:p>
              </w:tc>
              <w:tc>
                <w:tcPr/>
                <w:p>
                  <w:pPr>
                    <w:pStyle w:val="Compact"/>
                    <w:jc w:val="right"/>
                    <w:jc w:val="center"/>
                  </w:pPr>
                  <w:r>
                    <w:t xml:space="preserve">0.0034381</w:t>
                  </w:r>
                </w:p>
              </w:tc>
              <w:tc>
                <w:tcPr/>
                <w:p>
                  <w:pPr>
                    <w:pStyle w:val="Compact"/>
                    <w:jc w:val="right"/>
                    <w:jc w:val="center"/>
                  </w:pPr>
                  <w:r>
                    <w:t xml:space="preserve">0.0137523</w:t>
                  </w:r>
                </w:p>
              </w:tc>
            </w:tr>
            <w:tr>
              <w:tc>
                <w:tcPr/>
                <w:p>
                  <w:pPr>
                    <w:pStyle w:val="Compact"/>
                    <w:jc w:val="left"/>
                    <w:jc w:val="center"/>
                  </w:pPr>
                  <w:r>
                    <w:t xml:space="preserve">salty</w:t>
                  </w:r>
                </w:p>
              </w:tc>
              <w:tc>
                <w:tcPr/>
                <w:p>
                  <w:pPr>
                    <w:pStyle w:val="Compact"/>
                    <w:jc w:val="right"/>
                    <w:jc w:val="center"/>
                  </w:pPr>
                  <w:r>
                    <w:t xml:space="preserve">0.9969070</w:t>
                  </w:r>
                </w:p>
              </w:tc>
              <w:tc>
                <w:tcPr/>
                <w:p>
                  <w:pPr>
                    <w:pStyle w:val="Compact"/>
                    <w:jc w:val="right"/>
                    <w:jc w:val="center"/>
                  </w:pPr>
                  <w:r>
                    <w:t xml:space="preserve">1.0000000</w:t>
                  </w:r>
                </w:p>
              </w:tc>
            </w:tr>
            <w:tr>
              <w:tc>
                <w:tcPr/>
                <w:p>
                  <w:pPr>
                    <w:pStyle w:val="Compact"/>
                    <w:jc w:val="left"/>
                    <w:jc w:val="center"/>
                  </w:pPr>
                  <w:r>
                    <w:t xml:space="preserve">sour</w:t>
                  </w:r>
                </w:p>
              </w:tc>
              <w:tc>
                <w:tcPr/>
                <w:p>
                  <w:pPr>
                    <w:pStyle w:val="Compact"/>
                    <w:jc w:val="right"/>
                    <w:jc w:val="center"/>
                  </w:pPr>
                  <w:r>
                    <w:t xml:space="preserve">0.0076040</w:t>
                  </w:r>
                </w:p>
              </w:tc>
              <w:tc>
                <w:tcPr/>
                <w:p>
                  <w:pPr>
                    <w:pStyle w:val="Compact"/>
                    <w:jc w:val="right"/>
                    <w:jc w:val="center"/>
                  </w:pPr>
                  <w:r>
                    <w:t xml:space="preserve">0.0304159</w:t>
                  </w:r>
                </w:p>
              </w:tc>
            </w:tr>
            <w:tr>
              <w:tc>
                <w:tcPr/>
                <w:p>
                  <w:pPr>
                    <w:pStyle w:val="Compact"/>
                    <w:jc w:val="left"/>
                    <w:jc w:val="center"/>
                  </w:pPr>
                  <w:r>
                    <w:t xml:space="preserve">sweet</w:t>
                  </w:r>
                </w:p>
              </w:tc>
              <w:tc>
                <w:tcPr/>
                <w:p>
                  <w:pPr>
                    <w:pStyle w:val="Compact"/>
                    <w:jc w:val="right"/>
                    <w:jc w:val="center"/>
                  </w:pPr>
                  <w:r>
                    <w:t xml:space="preserve">0.0000043</w:t>
                  </w:r>
                </w:p>
              </w:tc>
              <w:tc>
                <w:tcPr/>
                <w:p>
                  <w:pPr>
                    <w:pStyle w:val="Compact"/>
                    <w:jc w:val="right"/>
                    <w:jc w:val="center"/>
                  </w:pPr>
                  <w:r>
                    <w:t xml:space="preserve">0.0000171</w:t>
                  </w:r>
                </w:p>
              </w:tc>
            </w:tr>
          </w:tbl>
          <w:bookmarkEnd w:id="65"/>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The analysis reveals that the fine-tuned model was significantly preferred for the sweet taste category, with an adjusted</w:t>
      </w:r>
      <w:r>
        <w:t xml:space="preserve"> </w:t>
      </w:r>
      <m:oMath>
        <m:r>
          <m:t>p</m:t>
        </m:r>
      </m:oMath>
      <w:r>
        <w:t xml:space="preserve">-value of</w:t>
      </w:r>
      <w:r>
        <w:t xml:space="preserve"> </w:t>
      </w:r>
      <m:oMath>
        <m:r>
          <m:t>1.7060421</m:t>
        </m:r>
        <m:r>
          <m:rPr>
            <m:sty m:val="p"/>
          </m:rPr>
          <m:t>×</m:t>
        </m:r>
        <m:sSup>
          <m:e>
            <m:r>
              <m:t>10</m:t>
            </m:r>
          </m:e>
          <m:sup>
            <m:r>
              <m:rPr>
                <m:sty m:val="p"/>
              </m:rPr>
              <m:t>−</m:t>
            </m:r>
            <m:r>
              <m:t>5</m:t>
            </m:r>
          </m:sup>
        </m:sSup>
      </m:oMath>
      <w:r>
        <w:t xml:space="preserve">, well below the conventional threshold of</w:t>
      </w:r>
      <w:r>
        <w:t xml:space="preserve"> </w:t>
      </w:r>
      <m:oMath>
        <m:r>
          <m:t>0.05</m:t>
        </m:r>
      </m:oMath>
      <w:r>
        <w:t xml:space="preserve">. This suggests a strong alignment between the musical outputs and participants’ expectations of sweetness.</w:t>
      </w:r>
      <w:r>
        <w:t xml:space="preserve"> </w:t>
      </w:r>
      <w:r>
        <w:t xml:space="preserve">Conversely, the bitter and sour categories also exhibited significant preferences, with adjusted</w:t>
      </w:r>
      <w:r>
        <w:t xml:space="preserve"> </w:t>
      </w:r>
      <m:oMath>
        <m:r>
          <m:t>p</m:t>
        </m:r>
      </m:oMath>
      <w:r>
        <w:t xml:space="preserve">-values of</w:t>
      </w:r>
      <w:r>
        <w:t xml:space="preserve"> </w:t>
      </w:r>
      <m:oMath>
        <m:r>
          <m:t>0.0137523</m:t>
        </m:r>
      </m:oMath>
      <w:r>
        <w:t xml:space="preserve"> </w:t>
      </w:r>
      <w:r>
        <w:t xml:space="preserve">and</w:t>
      </w:r>
      <w:r>
        <w:t xml:space="preserve"> </w:t>
      </w:r>
      <m:oMath>
        <m:r>
          <m:t>0.0304159</m:t>
        </m:r>
      </m:oMath>
      <w:r>
        <w:t xml:space="preserve">, respectively. However, these results, while statistically significant, indicate a less robust preference compared to the sweet category.</w:t>
      </w:r>
      <w:r>
        <w:t xml:space="preserve"> </w:t>
      </w:r>
      <w:r>
        <w:t xml:space="preserve">Notably, the salty taste group did not demonstrate a significant preference for the fine-tuned model, as indicated by an adjusted</w:t>
      </w:r>
      <w:r>
        <w:t xml:space="preserve"> </w:t>
      </w:r>
      <m:oMath>
        <m:r>
          <m:t>p</m:t>
        </m:r>
      </m:oMath>
      <w:r>
        <w:t xml:space="preserve">-value near to 1. This lack of significance suggests that the model’s performance may not align with participants’ expectations for salty flavors, warranting further investigation into the underlying factors influencing this outcome.</w:t>
      </w:r>
    </w:p>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Since the finetuned model did not show to perform well on the salty group, we performed a Wilcoxon test to test if its mean is significally lower than the tie situation (</w:t>
      </w:r>
      <m:oMath>
        <m:sSub>
          <m:e>
            <m:r>
              <m:t>H</m:t>
            </m:r>
          </m:e>
          <m:sub>
            <m:r>
              <m:t>0</m:t>
            </m:r>
          </m:sub>
        </m:sSub>
        <m:r>
          <m:rPr>
            <m:sty m:val="p"/>
          </m:rPr>
          <m:t>:</m:t>
        </m:r>
        <m:sSub>
          <m:e>
            <m:r>
              <m:t>μ</m:t>
            </m:r>
          </m:e>
          <m:sub>
            <m:r>
              <m:rPr>
                <m:nor/>
                <m:sty m:val="p"/>
              </m:rPr>
              <m:t>salty</m:t>
            </m:r>
          </m:sub>
        </m:sSub>
        <m:r>
          <m:rPr>
            <m:sty m:val="p"/>
          </m:rPr>
          <m:t>=</m:t>
        </m:r>
        <m:r>
          <m:t>5</m:t>
        </m:r>
        <m:r>
          <m:rPr>
            <m:sty m:val="p"/>
          </m:rPr>
          <m:t>,</m:t>
        </m:r>
        <m:sSub>
          <m:e>
            <m:r>
              <m:t>H</m:t>
            </m:r>
          </m:e>
          <m:sub>
            <m:r>
              <m:t>1</m:t>
            </m:r>
          </m:sub>
        </m:sSub>
        <m:r>
          <m:rPr>
            <m:sty m:val="p"/>
          </m:rPr>
          <m:t>:</m:t>
        </m:r>
        <m:sSub>
          <m:e>
            <m:r>
              <m:t>μ</m:t>
            </m:r>
          </m:e>
          <m:sub>
            <m:r>
              <m:rPr>
                <m:nor/>
                <m:sty m:val="p"/>
              </m:rPr>
              <m:t>salty</m:t>
            </m:r>
          </m:sub>
        </m:sSub>
        <m:r>
          <m:rPr>
            <m:sty m:val="p"/>
          </m:rPr>
          <m:t>&lt;</m:t>
        </m:r>
        <m:r>
          <m:t>5</m:t>
        </m:r>
      </m:oMath>
      <w:r>
        <w:t xml:space="preserve">) the result is that the first model is statistically preferred over the finetuned variant according to the Wilcoxon test with a</w:t>
      </w:r>
      <w:r>
        <w:t xml:space="preserve"> </w:t>
      </w:r>
      <m:oMath>
        <m:r>
          <m:t>p</m:t>
        </m:r>
      </m:oMath>
      <w:r>
        <w:t xml:space="preserve">-value equal to</w:t>
      </w:r>
      <w:r>
        <w:t xml:space="preserve"> </w:t>
      </w:r>
      <m:oMath>
        <m:r>
          <m:t>0.0031167</m:t>
        </m:r>
      </m:oMath>
      <w:r>
        <w:t xml:space="preserve"> </w:t>
      </w:r>
      <w:r>
        <w:t xml:space="preserve">without Bonferroni correction</w:t>
      </w:r>
      <w:r>
        <w:rPr>
          <w:rStyle w:val="FootnoteReference"/>
        </w:rPr>
        <w:footnoteReference w:id="66"/>
      </w:r>
      <w:r>
        <w:t xml:space="preserve">.</w:t>
      </w:r>
    </w:p>
    <w:bookmarkEnd w:id="67"/>
    <w:bookmarkEnd w:id="68"/>
    <w:bookmarkStart w:id="123" w:name="recognisability-of-tastes"/>
    <w:p>
      <w:pPr>
        <w:pStyle w:val="Heading2"/>
      </w:pPr>
      <w:r>
        <w:t xml:space="preserve">Recognisability of Tastes</w:t>
      </w:r>
    </w:p>
    <w:p>
      <w:pPr>
        <w:pStyle w:val="FirstParagraph"/>
      </w:pPr>
      <w:r>
        <w:t xml:space="preserve">In the second task of the survey, participants were asked to listen to musical pieces generated exclusively by the fine-tuned model to better investigate the intrinsic qualities carried by the generated music. Following each listening session, participants were required to quantify the flavors they perceived in the music using a graduated scale, ranging from 1 to 5 (where 1 means</w:t>
      </w:r>
      <w:r>
        <w:t xml:space="preserve"> </w:t>
      </w:r>
      <w:r>
        <w:rPr>
          <w:i/>
          <w:iCs/>
        </w:rPr>
        <w:t xml:space="preserve">not at all</w:t>
      </w:r>
      <w:r>
        <w:t xml:space="preserve"> </w:t>
      </w:r>
      <w:r>
        <w:t xml:space="preserve">and 5 means</w:t>
      </w:r>
      <w:r>
        <w:t xml:space="preserve"> </w:t>
      </w:r>
      <w:r>
        <w:rPr>
          <w:i/>
          <w:iCs/>
        </w:rPr>
        <w:t xml:space="preserve">very much</w:t>
      </w:r>
      <w:r>
        <w:t xml:space="preserve">), for each of the four primary taste categories: salty, sweet, bitter, and sour. Unlike the first task, there were no imposed labels for specific flavors, allowing participants the freedom to associate values with each taste based on their personal interpretations of the musical experience.</w:t>
      </w:r>
      <w:r>
        <w:t xml:space="preserve"> </w:t>
      </w:r>
      <w:r>
        <w:t xml:space="preserve">Additionally, to enrich the assessment, participants had to evaluate their emotional responses to the music by rating various non-gustatory parameters, including happiness, sadness, anger, disgust, fear, surprise, hot, and cold.</w:t>
      </w:r>
      <w:r>
        <w:t xml:space="preserve"> </w:t>
      </w:r>
      <w:hyperlink w:anchor="fig-task2">
        <w:r>
          <w:rPr>
            <w:rStyle w:val="Hyperlink"/>
          </w:rPr>
          <w:t xml:space="preserve">Figure 5</w:t>
        </w:r>
      </w:hyperlink>
      <w:r>
        <w:t xml:space="preserve"> </w:t>
      </w:r>
      <w:r>
        <w:t xml:space="preserve">displays the web interface used to collect participants’ responses.</w:t>
      </w:r>
    </w:p>
    <w:tbl>
      <w:tblPr>
        <w:tblStyle w:val="Table"/>
        <w:tblW w:type="pct" w:w="5000"/>
        <w:tblLayout w:type="fixed"/>
        <w:tblLook w:firstRow="0" w:lastRow="0" w:firstColumn="0" w:lastColumn="0" w:noHBand="0" w:noVBand="0" w:val="0000"/>
      </w:tblPr>
      <w:tblGrid>
        <w:gridCol w:w="7920"/>
      </w:tblGrid>
      <w:tr>
        <w:tc>
          <w:tcPr/>
          <w:bookmarkStart w:id="72" w:name="fig-task2"/>
          <w:p>
            <w:pPr>
              <w:pStyle w:val="Compact"/>
              <w:jc w:val="center"/>
            </w:pPr>
            <w:r>
              <w:drawing>
                <wp:inline>
                  <wp:extent cx="5334000" cy="6306164"/>
                  <wp:effectExtent b="0" l="0" r="0" t="0"/>
                  <wp:docPr descr="" title="" id="70" name="Picture"/>
                  <a:graphic>
                    <a:graphicData uri="http://schemas.openxmlformats.org/drawingml/2006/picture">
                      <pic:pic>
                        <pic:nvPicPr>
                          <pic:cNvPr descr="assets/img/music_synesthesia.png" id="71" name="Picture"/>
                          <pic:cNvPicPr>
                            <a:picLocks noChangeArrowheads="1" noChangeAspect="1"/>
                          </pic:cNvPicPr>
                        </pic:nvPicPr>
                        <pic:blipFill>
                          <a:blip r:embed="rId69"/>
                          <a:stretch>
                            <a:fillRect/>
                          </a:stretch>
                        </pic:blipFill>
                        <pic:spPr bwMode="auto">
                          <a:xfrm>
                            <a:off x="0" y="0"/>
                            <a:ext cx="5334000" cy="63061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Screenshot of the survey’s second task interface.</w:t>
            </w:r>
          </w:p>
          <w:bookmarkEnd w:id="72"/>
        </w:tc>
      </w:tr>
    </w:tbl>
    <w:p>
      <w:pPr>
        <w:pStyle w:val="BodyText"/>
      </w:pPr>
      <w:r>
        <w:t xml:space="preserve">The underlying research questions guiding this task were:</w:t>
      </w:r>
    </w:p>
    <w:p>
      <w:pPr>
        <w:pStyle w:val="Compact"/>
        <w:numPr>
          <w:ilvl w:val="0"/>
          <w:numId w:val="1001"/>
        </w:numPr>
      </w:pPr>
      <w:r>
        <w:t xml:space="preserve">Can the music generated by the model induce sensory-gustatory responses?</w:t>
      </w:r>
    </w:p>
    <w:p>
      <w:pPr>
        <w:pStyle w:val="Compact"/>
        <w:numPr>
          <w:ilvl w:val="0"/>
          <w:numId w:val="1001"/>
        </w:numPr>
      </w:pPr>
      <w:r>
        <w:t xml:space="preserve">What correlations exist between music and taste?</w:t>
      </w:r>
    </w:p>
    <w:p>
      <w:pPr>
        <w:pStyle w:val="Compact"/>
        <w:numPr>
          <w:ilvl w:val="0"/>
          <w:numId w:val="1001"/>
        </w:numPr>
      </w:pPr>
      <w:r>
        <w:t xml:space="preserve">Which emotions mediate these sensory responses?</w:t>
      </w:r>
    </w:p>
    <w:bookmarkStart w:id="74" w:name="anova-test"/>
    <w:p>
      <w:pPr>
        <w:pStyle w:val="Heading3"/>
      </w:pPr>
      <w:r>
        <w:t xml:space="preserve">ANOVA test</w:t>
      </w:r>
    </w:p>
    <w:p>
      <w:pPr>
        <w:pStyle w:val="FirstParagraph"/>
      </w:pPr>
      <w:r>
        <w:t xml:space="preserve">To address the first research question, we performed an Analysis of Variance (ANOVA) to evaluate whether the participants’ ratings of stimuli varied according to distinct stimulus characteristics. The dependent variable was the value assigned by participants to each stimulus, while the independent variables included stimulus-related factors. The dataset was filtered to include only participants identifying as</w:t>
      </w:r>
      <w:r>
        <w:t xml:space="preserve"> </w:t>
      </w:r>
      <w:r>
        <w:rPr>
          <w:i/>
          <w:iCs/>
        </w:rPr>
        <w:t xml:space="preserve">Male</w:t>
      </w:r>
      <w:r>
        <w:t xml:space="preserve"> </w:t>
      </w:r>
      <w:r>
        <w:t xml:space="preserve">or</w:t>
      </w:r>
      <w:r>
        <w:t xml:space="preserve"> </w:t>
      </w:r>
      <w:r>
        <w:rPr>
          <w:i/>
          <w:iCs/>
        </w:rPr>
        <w:t xml:space="preserve">Female</w:t>
      </w:r>
      <w:r>
        <w:t xml:space="preserve">, excluding participants classified as</w:t>
      </w:r>
      <w:r>
        <w:t xml:space="preserve"> </w:t>
      </w:r>
      <w:r>
        <w:rPr>
          <w:i/>
          <w:iCs/>
        </w:rPr>
        <w:t xml:space="preserve">Professional Eaters</w:t>
      </w:r>
      <w:r>
        <w:t xml:space="preserve"> </w:t>
      </w:r>
      <w:r>
        <w:t xml:space="preserve">due to insufficient representation of this category. This preprocessing step ensured robust and meaningful comparisons between groups.</w:t>
      </w:r>
    </w:p>
    <w:tbl>
      <w:tblPr>
        <w:tblStyle w:val="Table"/>
        <w:tblW w:type="pct" w:w="5000"/>
        <w:tblLayout w:type="fixed"/>
        <w:tblLook w:firstRow="0" w:lastRow="0" w:firstColumn="0" w:lastColumn="0" w:noHBand="0" w:noVBand="0" w:val="0000"/>
      </w:tblPr>
      <w:tblGrid>
        <w:gridCol w:w="7920"/>
      </w:tblGrid>
      <w:tr>
        <w:tc>
          <w:tcPr/>
          <w:bookmarkStart w:id="73" w:name="tbl-anova-value"/>
          <w:p>
            <w:pPr>
              <w:jc w:val="center"/>
            </w:pPr>
            <w:pPr>
              <w:jc w:val="start"/>
              <w:spacing w:before="200"/>
              <w:pStyle w:val="ImageCaption"/>
            </w:pPr>
            <w:r>
              <w:t xml:space="preserve">Table 2: Results of the ANOVA test.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Df</w:t>
                  </w:r>
                </w:p>
              </w:tc>
              <w:tc>
                <w:tcPr/>
                <w:p>
                  <w:pPr>
                    <w:pStyle w:val="Compact"/>
                    <w:jc w:val="right"/>
                    <w:jc w:val="center"/>
                  </w:pPr>
                  <w:r>
                    <w:t xml:space="preserve">Sum Sq</w:t>
                  </w:r>
                </w:p>
              </w:tc>
              <w:tc>
                <w:tcPr/>
                <w:p>
                  <w:pPr>
                    <w:pStyle w:val="Compact"/>
                    <w:jc w:val="right"/>
                    <w:jc w:val="center"/>
                  </w:pPr>
                  <w:r>
                    <w:t xml:space="preserve">Mean Sq</w:t>
                  </w:r>
                </w:p>
              </w:tc>
              <w:tc>
                <w:tcPr/>
                <w:p>
                  <w:pPr>
                    <w:pStyle w:val="Compact"/>
                    <w:jc w:val="right"/>
                    <w:jc w:val="center"/>
                  </w:pPr>
                  <w:r>
                    <w:t xml:space="preserve">F value</w:t>
                  </w:r>
                </w:p>
              </w:tc>
              <w:tc>
                <w:tcPr/>
                <w:p>
                  <w:pPr>
                    <w:pStyle w:val="Compact"/>
                    <w:jc w:val="right"/>
                    <w:jc w:val="center"/>
                  </w:pPr>
                  <w:r>
                    <w:t xml:space="preserve">Pr(&gt;F)</w:t>
                  </w:r>
                </w:p>
              </w:tc>
            </w:tr>
            <w:tr>
              <w:tc>
                <w:tcPr/>
                <w:p>
                  <w:pPr>
                    <w:pStyle w:val="Compact"/>
                    <w:jc w:val="left"/>
                    <w:jc w:val="center"/>
                  </w:pPr>
                  <w:r>
                    <w:t xml:space="preserve">prompt</w:t>
                  </w:r>
                </w:p>
              </w:tc>
              <w:tc>
                <w:tcPr/>
                <w:p>
                  <w:pPr>
                    <w:pStyle w:val="Compact"/>
                    <w:jc w:val="right"/>
                    <w:jc w:val="center"/>
                  </w:pPr>
                  <w:r>
                    <w:t xml:space="preserve">3</w:t>
                  </w:r>
                </w:p>
              </w:tc>
              <w:tc>
                <w:tcPr/>
                <w:p>
                  <w:pPr>
                    <w:pStyle w:val="Compact"/>
                    <w:jc w:val="right"/>
                    <w:jc w:val="center"/>
                  </w:pPr>
                  <w:r>
                    <w:t xml:space="preserve">29.402</w:t>
                  </w:r>
                </w:p>
              </w:tc>
              <w:tc>
                <w:tcPr/>
                <w:p>
                  <w:pPr>
                    <w:pStyle w:val="Compact"/>
                    <w:jc w:val="right"/>
                    <w:jc w:val="center"/>
                  </w:pPr>
                  <w:r>
                    <w:t xml:space="preserve">9.801</w:t>
                  </w:r>
                </w:p>
              </w:tc>
              <w:tc>
                <w:tcPr/>
                <w:p>
                  <w:pPr>
                    <w:pStyle w:val="Compact"/>
                    <w:jc w:val="right"/>
                    <w:jc w:val="center"/>
                  </w:pPr>
                  <w:r>
                    <w:t xml:space="preserve">8.739</w:t>
                  </w:r>
                </w:p>
              </w:tc>
              <w:tc>
                <w:tcPr/>
                <w:p>
                  <w:pPr>
                    <w:pStyle w:val="Compact"/>
                    <w:jc w:val="right"/>
                    <w:jc w:val="center"/>
                  </w:pPr>
                  <w:r>
                    <w:t xml:space="preserve">0.000</w:t>
                  </w:r>
                </w:p>
              </w:tc>
            </w:tr>
            <w:tr>
              <w:tc>
                <w:tcPr/>
                <w:p>
                  <w:pPr>
                    <w:pStyle w:val="Compact"/>
                    <w:jc w:val="left"/>
                    <w:jc w:val="center"/>
                  </w:pPr>
                  <w:r>
                    <w:t xml:space="preserve">adjective</w:t>
                  </w:r>
                </w:p>
              </w:tc>
              <w:tc>
                <w:tcPr/>
                <w:p>
                  <w:pPr>
                    <w:pStyle w:val="Compact"/>
                    <w:jc w:val="right"/>
                    <w:jc w:val="center"/>
                  </w:pPr>
                  <w:r>
                    <w:t xml:space="preserve">11</w:t>
                  </w:r>
                </w:p>
              </w:tc>
              <w:tc>
                <w:tcPr/>
                <w:p>
                  <w:pPr>
                    <w:pStyle w:val="Compact"/>
                    <w:jc w:val="right"/>
                    <w:jc w:val="center"/>
                  </w:pPr>
                  <w:r>
                    <w:t xml:space="preserve">188.478</w:t>
                  </w:r>
                </w:p>
              </w:tc>
              <w:tc>
                <w:tcPr/>
                <w:p>
                  <w:pPr>
                    <w:pStyle w:val="Compact"/>
                    <w:jc w:val="right"/>
                    <w:jc w:val="center"/>
                  </w:pPr>
                  <w:r>
                    <w:t xml:space="preserve">17.134</w:t>
                  </w:r>
                </w:p>
              </w:tc>
              <w:tc>
                <w:tcPr/>
                <w:p>
                  <w:pPr>
                    <w:pStyle w:val="Compact"/>
                    <w:jc w:val="right"/>
                    <w:jc w:val="center"/>
                  </w:pPr>
                  <w:r>
                    <w:t xml:space="preserve">15.279</w:t>
                  </w:r>
                </w:p>
              </w:tc>
              <w:tc>
                <w:tcPr/>
                <w:p>
                  <w:pPr>
                    <w:pStyle w:val="Compact"/>
                    <w:jc w:val="right"/>
                    <w:jc w:val="center"/>
                  </w:pPr>
                  <w:r>
                    <w:t xml:space="preserve">0.000</w:t>
                  </w:r>
                </w:p>
              </w:tc>
            </w:tr>
            <w:tr>
              <w:tc>
                <w:tcPr/>
                <w:p>
                  <w:pPr>
                    <w:pStyle w:val="Compact"/>
                    <w:jc w:val="left"/>
                    <w:jc w:val="center"/>
                  </w:pPr>
                  <w:r>
                    <w:t xml:space="preserve">hearing_experience</w:t>
                  </w:r>
                </w:p>
              </w:tc>
              <w:tc>
                <w:tcPr/>
                <w:p>
                  <w:pPr>
                    <w:pStyle w:val="Compact"/>
                    <w:jc w:val="right"/>
                    <w:jc w:val="center"/>
                  </w:pPr>
                  <w:r>
                    <w:t xml:space="preserve">2</w:t>
                  </w:r>
                </w:p>
              </w:tc>
              <w:tc>
                <w:tcPr/>
                <w:p>
                  <w:pPr>
                    <w:pStyle w:val="Compact"/>
                    <w:jc w:val="right"/>
                    <w:jc w:val="center"/>
                  </w:pPr>
                  <w:r>
                    <w:t xml:space="preserve">37.299</w:t>
                  </w:r>
                </w:p>
              </w:tc>
              <w:tc>
                <w:tcPr/>
                <w:p>
                  <w:pPr>
                    <w:pStyle w:val="Compact"/>
                    <w:jc w:val="right"/>
                    <w:jc w:val="center"/>
                  </w:pPr>
                  <w:r>
                    <w:t xml:space="preserve">18.650</w:t>
                  </w:r>
                </w:p>
              </w:tc>
              <w:tc>
                <w:tcPr/>
                <w:p>
                  <w:pPr>
                    <w:pStyle w:val="Compact"/>
                    <w:jc w:val="right"/>
                    <w:jc w:val="center"/>
                  </w:pPr>
                  <w:r>
                    <w:t xml:space="preserve">16.630</w:t>
                  </w:r>
                </w:p>
              </w:tc>
              <w:tc>
                <w:tcPr/>
                <w:p>
                  <w:pPr>
                    <w:pStyle w:val="Compact"/>
                    <w:jc w:val="right"/>
                    <w:jc w:val="center"/>
                  </w:pPr>
                  <w:r>
                    <w:t xml:space="preserve">0.000</w:t>
                  </w:r>
                </w:p>
              </w:tc>
            </w:tr>
            <w:tr>
              <w:tc>
                <w:tcPr/>
                <w:p>
                  <w:pPr>
                    <w:pStyle w:val="Compact"/>
                    <w:jc w:val="left"/>
                    <w:jc w:val="center"/>
                  </w:pPr>
                  <w:r>
                    <w:t xml:space="preserve">eating_experience</w:t>
                  </w:r>
                </w:p>
              </w:tc>
              <w:tc>
                <w:tcPr/>
                <w:p>
                  <w:pPr>
                    <w:pStyle w:val="Compact"/>
                    <w:jc w:val="right"/>
                    <w:jc w:val="center"/>
                  </w:pPr>
                  <w:r>
                    <w:t xml:space="preserve">1</w:t>
                  </w:r>
                </w:p>
              </w:tc>
              <w:tc>
                <w:tcPr/>
                <w:p>
                  <w:pPr>
                    <w:pStyle w:val="Compact"/>
                    <w:jc w:val="right"/>
                    <w:jc w:val="center"/>
                  </w:pPr>
                  <w:r>
                    <w:t xml:space="preserve">0.711</w:t>
                  </w:r>
                </w:p>
              </w:tc>
              <w:tc>
                <w:tcPr/>
                <w:p>
                  <w:pPr>
                    <w:pStyle w:val="Compact"/>
                    <w:jc w:val="right"/>
                    <w:jc w:val="center"/>
                  </w:pPr>
                  <w:r>
                    <w:t xml:space="preserve">0.711</w:t>
                  </w:r>
                </w:p>
              </w:tc>
              <w:tc>
                <w:tcPr/>
                <w:p>
                  <w:pPr>
                    <w:pStyle w:val="Compact"/>
                    <w:jc w:val="right"/>
                    <w:jc w:val="center"/>
                  </w:pPr>
                  <w:r>
                    <w:t xml:space="preserve">0.634</w:t>
                  </w:r>
                </w:p>
              </w:tc>
              <w:tc>
                <w:tcPr/>
                <w:p>
                  <w:pPr>
                    <w:pStyle w:val="Compact"/>
                    <w:jc w:val="right"/>
                    <w:jc w:val="center"/>
                  </w:pPr>
                  <w:r>
                    <w:t xml:space="preserve">0.426</w:t>
                  </w:r>
                </w:p>
              </w:tc>
            </w:tr>
            <w:tr>
              <w:tc>
                <w:tcPr/>
                <w:p>
                  <w:pPr>
                    <w:pStyle w:val="Compact"/>
                    <w:jc w:val="left"/>
                    <w:jc w:val="center"/>
                  </w:pPr>
                  <w:r>
                    <w:t xml:space="preserve">sex</w:t>
                  </w:r>
                </w:p>
              </w:tc>
              <w:tc>
                <w:tcPr/>
                <w:p>
                  <w:pPr>
                    <w:pStyle w:val="Compact"/>
                    <w:jc w:val="right"/>
                    <w:jc w:val="center"/>
                  </w:pPr>
                  <w:r>
                    <w:t xml:space="preserve">1</w:t>
                  </w:r>
                </w:p>
              </w:tc>
              <w:tc>
                <w:tcPr/>
                <w:p>
                  <w:pPr>
                    <w:pStyle w:val="Compact"/>
                    <w:jc w:val="right"/>
                    <w:jc w:val="center"/>
                  </w:pPr>
                  <w:r>
                    <w:t xml:space="preserve">0.069</w:t>
                  </w:r>
                </w:p>
              </w:tc>
              <w:tc>
                <w:tcPr/>
                <w:p>
                  <w:pPr>
                    <w:pStyle w:val="Compact"/>
                    <w:jc w:val="right"/>
                    <w:jc w:val="center"/>
                  </w:pPr>
                  <w:r>
                    <w:t xml:space="preserve">0.069</w:t>
                  </w:r>
                </w:p>
              </w:tc>
              <w:tc>
                <w:tcPr/>
                <w:p>
                  <w:pPr>
                    <w:pStyle w:val="Compact"/>
                    <w:jc w:val="right"/>
                    <w:jc w:val="center"/>
                  </w:pPr>
                  <w:r>
                    <w:t xml:space="preserve">0.061</w:t>
                  </w:r>
                </w:p>
              </w:tc>
              <w:tc>
                <w:tcPr/>
                <w:p>
                  <w:pPr>
                    <w:pStyle w:val="Compact"/>
                    <w:jc w:val="right"/>
                    <w:jc w:val="center"/>
                  </w:pPr>
                  <w:r>
                    <w:t xml:space="preserve">0.804</w:t>
                  </w:r>
                </w:p>
              </w:tc>
            </w:tr>
            <w:tr>
              <w:tc>
                <w:tcPr/>
                <w:p>
                  <w:pPr>
                    <w:pStyle w:val="Compact"/>
                    <w:jc w:val="left"/>
                    <w:jc w:val="center"/>
                  </w:pPr>
                  <w:r>
                    <w:t xml:space="preserve">prompt:adjective</w:t>
                  </w:r>
                </w:p>
              </w:tc>
              <w:tc>
                <w:tcPr/>
                <w:p>
                  <w:pPr>
                    <w:pStyle w:val="Compact"/>
                    <w:jc w:val="right"/>
                    <w:jc w:val="center"/>
                  </w:pPr>
                  <w:r>
                    <w:t xml:space="preserve">33</w:t>
                  </w:r>
                </w:p>
              </w:tc>
              <w:tc>
                <w:tcPr/>
                <w:p>
                  <w:pPr>
                    <w:pStyle w:val="Compact"/>
                    <w:jc w:val="right"/>
                    <w:jc w:val="center"/>
                  </w:pPr>
                  <w:r>
                    <w:t xml:space="preserve">214.757</w:t>
                  </w:r>
                </w:p>
              </w:tc>
              <w:tc>
                <w:tcPr/>
                <w:p>
                  <w:pPr>
                    <w:pStyle w:val="Compact"/>
                    <w:jc w:val="right"/>
                    <w:jc w:val="center"/>
                  </w:pPr>
                  <w:r>
                    <w:t xml:space="preserve">6.508</w:t>
                  </w:r>
                </w:p>
              </w:tc>
              <w:tc>
                <w:tcPr/>
                <w:p>
                  <w:pPr>
                    <w:pStyle w:val="Compact"/>
                    <w:jc w:val="right"/>
                    <w:jc w:val="center"/>
                  </w:pPr>
                  <w:r>
                    <w:t xml:space="preserve">5.803</w:t>
                  </w:r>
                </w:p>
              </w:tc>
              <w:tc>
                <w:tcPr/>
                <w:p>
                  <w:pPr>
                    <w:pStyle w:val="Compact"/>
                    <w:jc w:val="right"/>
                    <w:jc w:val="center"/>
                  </w:pPr>
                  <w:r>
                    <w:t xml:space="preserve">0.000</w:t>
                  </w:r>
                </w:p>
              </w:tc>
            </w:tr>
            <w:tr>
              <w:tc>
                <w:tcPr/>
                <w:p>
                  <w:pPr>
                    <w:pStyle w:val="Compact"/>
                    <w:jc w:val="left"/>
                    <w:jc w:val="center"/>
                  </w:pPr>
                  <w:r>
                    <w:t xml:space="preserve">Residuals</w:t>
                  </w:r>
                </w:p>
              </w:tc>
              <w:tc>
                <w:tcPr/>
                <w:p>
                  <w:pPr>
                    <w:pStyle w:val="Compact"/>
                    <w:jc w:val="right"/>
                    <w:jc w:val="center"/>
                  </w:pPr>
                  <w:r>
                    <w:t xml:space="preserve">3764</w:t>
                  </w:r>
                </w:p>
              </w:tc>
              <w:tc>
                <w:tcPr/>
                <w:p>
                  <w:pPr>
                    <w:pStyle w:val="Compact"/>
                    <w:jc w:val="right"/>
                    <w:jc w:val="center"/>
                  </w:pPr>
                  <w:r>
                    <w:t xml:space="preserve">4221.057</w:t>
                  </w:r>
                </w:p>
              </w:tc>
              <w:tc>
                <w:tcPr/>
                <w:p>
                  <w:pPr>
                    <w:pStyle w:val="Compact"/>
                    <w:jc w:val="right"/>
                    <w:jc w:val="center"/>
                  </w:pPr>
                  <w:r>
                    <w:t xml:space="preserve">1.121</w:t>
                  </w:r>
                </w:p>
              </w:tc>
              <w:tc>
                <w:tcPr/>
                <w:p>
                  <w:pPr>
                    <w:pStyle w:val="Compact"/>
                    <w:jc w:val="right"/>
                    <w:jc w:val="center"/>
                  </w:pPr>
                  <w:r>
                    <w:t xml:space="preserve">NA</w:t>
                  </w:r>
                </w:p>
              </w:tc>
              <w:tc>
                <w:tcPr/>
                <w:p>
                  <w:pPr>
                    <w:pStyle w:val="Compact"/>
                    <w:jc w:val="right"/>
                    <w:jc w:val="center"/>
                  </w:pPr>
                  <w:r>
                    <w:t xml:space="preserve">NA</w:t>
                  </w:r>
                </w:p>
              </w:tc>
            </w:tr>
          </w:tbl>
          <w:bookmarkEnd w:id="73"/>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The results of the ANOVA are summarized in</w:t>
      </w:r>
      <w:r>
        <w:t xml:space="preserve"> </w:t>
      </w:r>
      <w:hyperlink w:anchor="tbl-anova-value">
        <w:r>
          <w:rPr>
            <w:rStyle w:val="Hyperlink"/>
          </w:rPr>
          <w:t xml:space="preserve">Table 2</w:t>
        </w:r>
      </w:hyperlink>
      <w:r>
        <w:t xml:space="preserve">, which presents the degrees of freedom (Df), sum of squares (Sum Sq), mean squares (Mean Sq), F-statistics, and</w:t>
      </w:r>
      <w:r>
        <w:t xml:space="preserve"> </w:t>
      </w:r>
      <m:oMath>
        <m:r>
          <m:t>p</m:t>
        </m:r>
      </m:oMath>
      <w:r>
        <w:t xml:space="preserve">-values for each factor and interaction.</w:t>
      </w:r>
    </w:p>
    <w:p>
      <w:pPr>
        <w:pStyle w:val="BodyText"/>
      </w:pPr>
      <w:r>
        <w:t xml:space="preserve">Prior to interpreting the results, the homoskedasticity assumption was assessed by examining the residuals. A Shapiro-Wilk test indicated evidence of heteroskedasticity (</w:t>
      </w:r>
      <m:oMath>
        <m:r>
          <m:t>p</m:t>
        </m:r>
        <m:r>
          <m:rPr>
            <m:sty m:val="p"/>
          </m:rPr>
          <m:t>&lt;</m:t>
        </m:r>
        <m:r>
          <m:t>0.05</m:t>
        </m:r>
      </m:oMath>
      <w:r>
        <w:t xml:space="preserve">). Despite this violation, the ANOVA analysis proceeded, following recommendations from prior research</w:t>
      </w:r>
      <w:r>
        <w:t xml:space="preserve"> </w:t>
      </w:r>
      <w:r>
        <w:t xml:space="preserve">[3], [4], [5]</w:t>
      </w:r>
      <w:r>
        <w:t xml:space="preserve"> </w:t>
      </w:r>
      <w:r>
        <w:t xml:space="preserve">suggesting that ANOVA is robust to deviations from normality under moderate violations, particularly with large sample sizes such as the one in this study.</w:t>
      </w:r>
      <w:r>
        <w:t xml:space="preserve"> </w:t>
      </w:r>
      <w:r>
        <w:t xml:space="preserve">The results show that different prompts and adjectives lead to significantly different adjectives quantified by participants, similarly the adjectives used influence the participants’ feelings. Furthermore the significant interaction effect implies that the effect of one variable depends on the level of the other. In other words, the way a prompt influences feelings may vary depending on the adjective used. This result highlights that the participants to the survey deliberately operated consistent choices while evaluating the stimuli.</w:t>
      </w:r>
    </w:p>
    <w:bookmarkEnd w:id="74"/>
    <w:bookmarkStart w:id="75" w:name="post-hoc-analysis"/>
    <w:p>
      <w:pPr>
        <w:pStyle w:val="Heading3"/>
      </w:pPr>
      <w:r>
        <w:t xml:space="preserve">Post-Hoc Analysis</w:t>
      </w:r>
    </w:p>
    <w:p>
      <w:pPr>
        <w:pStyle w:val="FirstParagraph"/>
      </w:pPr>
      <w:r>
        <w:t xml:space="preserve">To further explore the results of the ANOVA, we conducted Tukey’s Honest Significant Difference (HSD) test. This post-hoc analysis is particularly useful for identifying which specific group means are significantly different from each other after finding a significant overall effect in the ANOVA. Given that our analysis revealed significant main effects for prompt, adjective, their interaction and the hearing experience, it is essential to determine the nature of these differences.</w:t>
      </w:r>
    </w:p>
    <w:p>
      <w:pPr>
        <w:pStyle w:val="BodyText"/>
      </w:pPr>
      <w:r>
        <w:t xml:space="preserve">The Tukey test compares all possible pairs of group means while controlling for the family-wise error rate, thus providing a robust method for multiple comparisons. This is crucial in our context, as we aim to understand how different prompts, adjectives and hearing experience levels influence participants’ evaluations of the stimuli.</w:t>
      </w:r>
      <w:r>
        <w:t xml:space="preserve"> </w:t>
      </w:r>
      <w:r>
        <w:t xml:space="preserve">Upon executing the Tukey test, we examined the adjusted</w:t>
      </w:r>
      <w:r>
        <w:t xml:space="preserve"> </w:t>
      </w:r>
      <m:oMath>
        <m:r>
          <m:t>p</m:t>
        </m:r>
      </m:oMath>
      <w:r>
        <w:t xml:space="preserve">-values for each comparison. The results indicated several significant differences between specific combinations of prompts and adjectives, as summarized in the table below:</w:t>
      </w:r>
    </w:p>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TableCaption"/>
      </w:pPr>
      <w:r>
        <w:t xml:space="preserve">Tukey test between different prompts with a</w:t>
      </w:r>
      <w:r>
        <w:t xml:space="preserve"> </w:t>
      </w:r>
      <m:oMath>
        <m:r>
          <m:t>p</m:t>
        </m:r>
      </m:oMath>
      <w:r>
        <w:t xml:space="preserve">-value lower 0.05.</w:t>
      </w:r>
    </w:p>
    <w:tbl>
      <w:tblPr>
        <w:tblStyle w:val="Table"/>
        <w:tblW w:type="auto" w:w="0"/>
        <w:tblLook w:firstRow="1" w:lastRow="0" w:firstColumn="0" w:lastColumn="0" w:noHBand="0" w:noVBand="0" w:val="0020"/>
        <w:tblCaption w:val="Tukey test between different prompts with a p-value lower 0.05."/>
      </w:tblPr>
      <w:tblGrid>
        <w:gridCol w:w="1584"/>
        <w:gridCol w:w="1584"/>
        <w:gridCol w:w="1584"/>
        <w:gridCol w:w="1584"/>
        <w:gridCol w:w="1584"/>
      </w:tblGrid>
      <w:tr>
        <w:trPr>
          <w:tblHeader w:val="on"/>
        </w:trPr>
        <w:tc>
          <w:tcPr/>
          <w:p>
            <w:pPr>
              <w:pStyle w:val="Compact"/>
            </w:pPr>
          </w:p>
        </w:tc>
        <w:tc>
          <w:tcPr/>
          <w:p>
            <w:pPr>
              <w:pStyle w:val="Compact"/>
              <w:jc w:val="right"/>
            </w:pPr>
            <w:r>
              <w:t xml:space="preserve">diff</w:t>
            </w:r>
          </w:p>
        </w:tc>
        <w:tc>
          <w:tcPr/>
          <w:p>
            <w:pPr>
              <w:pStyle w:val="Compact"/>
              <w:jc w:val="right"/>
            </w:pPr>
            <w:r>
              <w:t xml:space="preserve">lwr</w:t>
            </w:r>
          </w:p>
        </w:tc>
        <w:tc>
          <w:tcPr/>
          <w:p>
            <w:pPr>
              <w:pStyle w:val="Compact"/>
              <w:jc w:val="right"/>
            </w:pPr>
            <w:r>
              <w:t xml:space="preserve">upr</w:t>
            </w:r>
          </w:p>
        </w:tc>
        <w:tc>
          <w:tcPr/>
          <w:p>
            <w:pPr>
              <w:pStyle w:val="Compact"/>
              <w:jc w:val="right"/>
            </w:pPr>
            <w:r>
              <w:t xml:space="preserve">p adj</w:t>
            </w:r>
          </w:p>
        </w:tc>
      </w:tr>
      <w:tr>
        <w:tc>
          <w:tcPr/>
          <w:p>
            <w:pPr>
              <w:pStyle w:val="Compact"/>
              <w:jc w:val="left"/>
            </w:pPr>
            <w:r>
              <w:t xml:space="preserve">sour-bitter</w:t>
            </w:r>
          </w:p>
        </w:tc>
        <w:tc>
          <w:tcPr/>
          <w:p>
            <w:pPr>
              <w:pStyle w:val="Compact"/>
              <w:jc w:val="right"/>
            </w:pPr>
            <w:r>
              <w:t xml:space="preserve">0.1539030</w:t>
            </w:r>
          </w:p>
        </w:tc>
        <w:tc>
          <w:tcPr/>
          <w:p>
            <w:pPr>
              <w:pStyle w:val="Compact"/>
              <w:jc w:val="right"/>
            </w:pPr>
            <w:r>
              <w:t xml:space="preserve">0.0274663</w:t>
            </w:r>
          </w:p>
        </w:tc>
        <w:tc>
          <w:tcPr/>
          <w:p>
            <w:pPr>
              <w:pStyle w:val="Compact"/>
              <w:jc w:val="right"/>
            </w:pPr>
            <w:r>
              <w:t xml:space="preserve">0.2803397</w:t>
            </w:r>
          </w:p>
        </w:tc>
        <w:tc>
          <w:tcPr/>
          <w:p>
            <w:pPr>
              <w:pStyle w:val="Compact"/>
              <w:jc w:val="right"/>
            </w:pPr>
            <w:r>
              <w:t xml:space="preserve">0.0095792</w:t>
            </w:r>
          </w:p>
        </w:tc>
      </w:tr>
      <w:tr>
        <w:tc>
          <w:tcPr/>
          <w:p>
            <w:pPr>
              <w:pStyle w:val="Compact"/>
              <w:jc w:val="left"/>
            </w:pPr>
            <w:r>
              <w:t xml:space="preserve">sour-salty</w:t>
            </w:r>
          </w:p>
        </w:tc>
        <w:tc>
          <w:tcPr/>
          <w:p>
            <w:pPr>
              <w:pStyle w:val="Compact"/>
              <w:jc w:val="right"/>
            </w:pPr>
            <w:r>
              <w:t xml:space="preserve">0.1942878</w:t>
            </w:r>
          </w:p>
        </w:tc>
        <w:tc>
          <w:tcPr/>
          <w:p>
            <w:pPr>
              <w:pStyle w:val="Compact"/>
              <w:jc w:val="right"/>
            </w:pPr>
            <w:r>
              <w:t xml:space="preserve">0.0661296</w:t>
            </w:r>
          </w:p>
        </w:tc>
        <w:tc>
          <w:tcPr/>
          <w:p>
            <w:pPr>
              <w:pStyle w:val="Compact"/>
              <w:jc w:val="right"/>
            </w:pPr>
            <w:r>
              <w:t xml:space="preserve">0.3224460</w:t>
            </w:r>
          </w:p>
        </w:tc>
        <w:tc>
          <w:tcPr/>
          <w:p>
            <w:pPr>
              <w:pStyle w:val="Compact"/>
              <w:jc w:val="right"/>
            </w:pPr>
            <w:r>
              <w:t xml:space="preserve">0.0005747</w:t>
            </w:r>
          </w:p>
        </w:tc>
      </w:tr>
      <w:tr>
        <w:tc>
          <w:tcPr/>
          <w:p>
            <w:pPr>
              <w:pStyle w:val="Compact"/>
              <w:jc w:val="left"/>
            </w:pPr>
            <w:r>
              <w:t xml:space="preserve">sweet-sour</w:t>
            </w:r>
          </w:p>
        </w:tc>
        <w:tc>
          <w:tcPr/>
          <w:p>
            <w:pPr>
              <w:pStyle w:val="Compact"/>
              <w:jc w:val="right"/>
            </w:pPr>
            <w:r>
              <w:t xml:space="preserve">-0.1932957</w:t>
            </w:r>
          </w:p>
        </w:tc>
        <w:tc>
          <w:tcPr/>
          <w:p>
            <w:pPr>
              <w:pStyle w:val="Compact"/>
              <w:jc w:val="right"/>
            </w:pPr>
            <w:r>
              <w:t xml:space="preserve">-0.3214540</w:t>
            </w:r>
          </w:p>
        </w:tc>
        <w:tc>
          <w:tcPr/>
          <w:p>
            <w:pPr>
              <w:pStyle w:val="Compact"/>
              <w:jc w:val="right"/>
            </w:pPr>
            <w:r>
              <w:t xml:space="preserve">-0.0651375</w:t>
            </w:r>
          </w:p>
        </w:tc>
        <w:tc>
          <w:tcPr/>
          <w:p>
            <w:pPr>
              <w:pStyle w:val="Compact"/>
              <w:jc w:val="right"/>
            </w:pPr>
            <w:r>
              <w:t xml:space="preserve">0.0006229</w:t>
            </w:r>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 </w:t>
      </w:r>
    </w:p>
    <w:p>
      <w:pPr>
        <w:pStyle w:val="TableCaption"/>
      </w:pPr>
      <w:r>
        <w:t xml:space="preserve">Tukey test between different adjectives with a</w:t>
      </w:r>
      <w:r>
        <w:t xml:space="preserve"> </w:t>
      </w:r>
      <m:oMath>
        <m:r>
          <m:t>p</m:t>
        </m:r>
      </m:oMath>
      <w:r>
        <w:t xml:space="preserve">-value lower 0.05.</w:t>
      </w:r>
    </w:p>
    <w:tbl>
      <w:tblPr>
        <w:tblStyle w:val="Table"/>
        <w:tblW w:type="auto" w:w="0"/>
        <w:tblLook w:firstRow="1" w:lastRow="0" w:firstColumn="0" w:lastColumn="0" w:noHBand="0" w:noVBand="0" w:val="0020"/>
        <w:tblCaption w:val="Tukey test between different adjectives with a p-value lower 0.05."/>
      </w:tblPr>
      <w:tblGrid>
        <w:gridCol w:w="1584"/>
        <w:gridCol w:w="1584"/>
        <w:gridCol w:w="1584"/>
        <w:gridCol w:w="1584"/>
        <w:gridCol w:w="1584"/>
      </w:tblGrid>
      <w:tr>
        <w:trPr>
          <w:tblHeader w:val="on"/>
        </w:trPr>
        <w:tc>
          <w:tcPr/>
          <w:p>
            <w:pPr>
              <w:pStyle w:val="Compact"/>
            </w:pPr>
          </w:p>
        </w:tc>
        <w:tc>
          <w:tcPr/>
          <w:p>
            <w:pPr>
              <w:pStyle w:val="Compact"/>
              <w:jc w:val="right"/>
            </w:pPr>
            <w:r>
              <w:t xml:space="preserve">diff</w:t>
            </w:r>
          </w:p>
        </w:tc>
        <w:tc>
          <w:tcPr/>
          <w:p>
            <w:pPr>
              <w:pStyle w:val="Compact"/>
              <w:jc w:val="right"/>
            </w:pPr>
            <w:r>
              <w:t xml:space="preserve">lwr</w:t>
            </w:r>
          </w:p>
        </w:tc>
        <w:tc>
          <w:tcPr/>
          <w:p>
            <w:pPr>
              <w:pStyle w:val="Compact"/>
              <w:jc w:val="right"/>
            </w:pPr>
            <w:r>
              <w:t xml:space="preserve">upr</w:t>
            </w:r>
          </w:p>
        </w:tc>
        <w:tc>
          <w:tcPr/>
          <w:p>
            <w:pPr>
              <w:pStyle w:val="Compact"/>
              <w:jc w:val="right"/>
            </w:pPr>
            <w:r>
              <w:t xml:space="preserve">p adj</w:t>
            </w:r>
          </w:p>
        </w:tc>
      </w:tr>
      <w:tr>
        <w:tc>
          <w:tcPr/>
          <w:p>
            <w:pPr>
              <w:pStyle w:val="Compact"/>
              <w:jc w:val="left"/>
            </w:pPr>
            <w:r>
              <w:t xml:space="preserve">bitter-anger</w:t>
            </w:r>
          </w:p>
        </w:tc>
        <w:tc>
          <w:tcPr/>
          <w:p>
            <w:pPr>
              <w:pStyle w:val="Compact"/>
              <w:jc w:val="right"/>
            </w:pPr>
            <w:r>
              <w:t xml:space="preserve">0.4204204</w:t>
            </w:r>
          </w:p>
        </w:tc>
        <w:tc>
          <w:tcPr/>
          <w:p>
            <w:pPr>
              <w:pStyle w:val="Compact"/>
              <w:jc w:val="right"/>
            </w:pPr>
            <w:r>
              <w:t xml:space="preserve">0.1439129</w:t>
            </w:r>
          </w:p>
        </w:tc>
        <w:tc>
          <w:tcPr/>
          <w:p>
            <w:pPr>
              <w:pStyle w:val="Compact"/>
              <w:jc w:val="right"/>
            </w:pPr>
            <w:r>
              <w:t xml:space="preserve">0.6969280</w:t>
            </w:r>
          </w:p>
        </w:tc>
        <w:tc>
          <w:tcPr/>
          <w:p>
            <w:pPr>
              <w:pStyle w:val="Compact"/>
              <w:jc w:val="right"/>
            </w:pPr>
            <w:r>
              <w:t xml:space="preserve">0.0000443</w:t>
            </w:r>
          </w:p>
        </w:tc>
      </w:tr>
      <w:tr>
        <w:tc>
          <w:tcPr/>
          <w:p>
            <w:pPr>
              <w:pStyle w:val="Compact"/>
              <w:jc w:val="left"/>
            </w:pPr>
            <w:r>
              <w:t xml:space="preserve">cold-anger</w:t>
            </w:r>
          </w:p>
        </w:tc>
        <w:tc>
          <w:tcPr/>
          <w:p>
            <w:pPr>
              <w:pStyle w:val="Compact"/>
              <w:jc w:val="right"/>
            </w:pPr>
            <w:r>
              <w:t xml:space="preserve">0.4774775</w:t>
            </w:r>
          </w:p>
        </w:tc>
        <w:tc>
          <w:tcPr/>
          <w:p>
            <w:pPr>
              <w:pStyle w:val="Compact"/>
              <w:jc w:val="right"/>
            </w:pPr>
            <w:r>
              <w:t xml:space="preserve">0.2009699</w:t>
            </w:r>
          </w:p>
        </w:tc>
        <w:tc>
          <w:tcPr/>
          <w:p>
            <w:pPr>
              <w:pStyle w:val="Compact"/>
              <w:jc w:val="right"/>
            </w:pPr>
            <w:r>
              <w:t xml:space="preserve">0.7539850</w:t>
            </w:r>
          </w:p>
        </w:tc>
        <w:tc>
          <w:tcPr/>
          <w:p>
            <w:pPr>
              <w:pStyle w:val="Compact"/>
              <w:jc w:val="right"/>
            </w:pPr>
            <w:r>
              <w:t xml:space="preserve">0.0000012</w:t>
            </w:r>
          </w:p>
        </w:tc>
      </w:tr>
      <w:tr>
        <w:tc>
          <w:tcPr/>
          <w:p>
            <w:pPr>
              <w:pStyle w:val="Compact"/>
              <w:jc w:val="left"/>
            </w:pPr>
            <w:r>
              <w:t xml:space="preserve">hot-anger</w:t>
            </w:r>
          </w:p>
        </w:tc>
        <w:tc>
          <w:tcPr/>
          <w:p>
            <w:pPr>
              <w:pStyle w:val="Compact"/>
              <w:jc w:val="right"/>
            </w:pPr>
            <w:r>
              <w:t xml:space="preserve">0.5315315</w:t>
            </w:r>
          </w:p>
        </w:tc>
        <w:tc>
          <w:tcPr/>
          <w:p>
            <w:pPr>
              <w:pStyle w:val="Compact"/>
              <w:jc w:val="right"/>
            </w:pPr>
            <w:r>
              <w:t xml:space="preserve">0.2550240</w:t>
            </w:r>
          </w:p>
        </w:tc>
        <w:tc>
          <w:tcPr/>
          <w:p>
            <w:pPr>
              <w:pStyle w:val="Compact"/>
              <w:jc w:val="right"/>
            </w:pPr>
            <w:r>
              <w:t xml:space="preserve">0.8080391</w:t>
            </w:r>
          </w:p>
        </w:tc>
        <w:tc>
          <w:tcPr/>
          <w:p>
            <w:pPr>
              <w:pStyle w:val="Compact"/>
              <w:jc w:val="right"/>
            </w:pPr>
            <w:r>
              <w:t xml:space="preserve">0.0000000</w:t>
            </w:r>
          </w:p>
        </w:tc>
      </w:tr>
      <w:tr>
        <w:tc>
          <w:tcPr/>
          <w:p>
            <w:pPr>
              <w:pStyle w:val="Compact"/>
              <w:jc w:val="left"/>
            </w:pPr>
            <w:r>
              <w:t xml:space="preserve">sad-anger</w:t>
            </w:r>
          </w:p>
        </w:tc>
        <w:tc>
          <w:tcPr/>
          <w:p>
            <w:pPr>
              <w:pStyle w:val="Compact"/>
              <w:jc w:val="right"/>
            </w:pPr>
            <w:r>
              <w:t xml:space="preserve">0.5765766</w:t>
            </w:r>
          </w:p>
        </w:tc>
        <w:tc>
          <w:tcPr/>
          <w:p>
            <w:pPr>
              <w:pStyle w:val="Compact"/>
              <w:jc w:val="right"/>
            </w:pPr>
            <w:r>
              <w:t xml:space="preserve">0.3000690</w:t>
            </w:r>
          </w:p>
        </w:tc>
        <w:tc>
          <w:tcPr/>
          <w:p>
            <w:pPr>
              <w:pStyle w:val="Compact"/>
              <w:jc w:val="right"/>
            </w:pPr>
            <w:r>
              <w:t xml:space="preserve">0.8530841</w:t>
            </w:r>
          </w:p>
        </w:tc>
        <w:tc>
          <w:tcPr/>
          <w:p>
            <w:pPr>
              <w:pStyle w:val="Compact"/>
              <w:jc w:val="right"/>
            </w:pPr>
            <w:r>
              <w:t xml:space="preserve">0.0000000</w:t>
            </w:r>
          </w:p>
        </w:tc>
      </w:tr>
      <w:tr>
        <w:tc>
          <w:tcPr/>
          <w:p>
            <w:pPr>
              <w:pStyle w:val="Compact"/>
              <w:jc w:val="left"/>
            </w:pPr>
            <w:r>
              <w:t xml:space="preserve">sweet-anger</w:t>
            </w:r>
          </w:p>
        </w:tc>
        <w:tc>
          <w:tcPr/>
          <w:p>
            <w:pPr>
              <w:pStyle w:val="Compact"/>
              <w:jc w:val="right"/>
            </w:pPr>
            <w:r>
              <w:t xml:space="preserve">0.3723724</w:t>
            </w:r>
          </w:p>
        </w:tc>
        <w:tc>
          <w:tcPr/>
          <w:p>
            <w:pPr>
              <w:pStyle w:val="Compact"/>
              <w:jc w:val="right"/>
            </w:pPr>
            <w:r>
              <w:t xml:space="preserve">0.0958648</w:t>
            </w:r>
          </w:p>
        </w:tc>
        <w:tc>
          <w:tcPr/>
          <w:p>
            <w:pPr>
              <w:pStyle w:val="Compact"/>
              <w:jc w:val="right"/>
            </w:pPr>
            <w:r>
              <w:t xml:space="preserve">0.6488799</w:t>
            </w:r>
          </w:p>
        </w:tc>
        <w:tc>
          <w:tcPr/>
          <w:p>
            <w:pPr>
              <w:pStyle w:val="Compact"/>
              <w:jc w:val="right"/>
            </w:pPr>
            <w:r>
              <w:t xml:space="preserve">0.0006699</w:t>
            </w:r>
          </w:p>
        </w:tc>
      </w:tr>
      <w:tr>
        <w:tc>
          <w:tcPr/>
          <w:p>
            <w:pPr>
              <w:pStyle w:val="Compact"/>
              <w:jc w:val="left"/>
            </w:pPr>
            <w:r>
              <w:t xml:space="preserve">disgust-bitter</w:t>
            </w:r>
          </w:p>
        </w:tc>
        <w:tc>
          <w:tcPr/>
          <w:p>
            <w:pPr>
              <w:pStyle w:val="Compact"/>
              <w:jc w:val="right"/>
            </w:pPr>
            <w:r>
              <w:t xml:space="preserve">-0.6336336</w:t>
            </w:r>
          </w:p>
        </w:tc>
        <w:tc>
          <w:tcPr/>
          <w:p>
            <w:pPr>
              <w:pStyle w:val="Compact"/>
              <w:jc w:val="right"/>
            </w:pPr>
            <w:r>
              <w:t xml:space="preserve">-0.9101412</w:t>
            </w:r>
          </w:p>
        </w:tc>
        <w:tc>
          <w:tcPr/>
          <w:p>
            <w:pPr>
              <w:pStyle w:val="Compact"/>
              <w:jc w:val="right"/>
            </w:pPr>
            <w:r>
              <w:t xml:space="preserve">-0.3571261</w:t>
            </w:r>
          </w:p>
        </w:tc>
        <w:tc>
          <w:tcPr/>
          <w:p>
            <w:pPr>
              <w:pStyle w:val="Compact"/>
              <w:jc w:val="right"/>
            </w:pPr>
            <w:r>
              <w:t xml:space="preserve">0.0000000</w:t>
            </w:r>
          </w:p>
        </w:tc>
      </w:tr>
      <w:tr>
        <w:tc>
          <w:tcPr/>
          <w:p>
            <w:pPr>
              <w:pStyle w:val="Compact"/>
              <w:jc w:val="left"/>
            </w:pPr>
            <w:r>
              <w:t xml:space="preserve">happy-bitter</w:t>
            </w:r>
          </w:p>
        </w:tc>
        <w:tc>
          <w:tcPr/>
          <w:p>
            <w:pPr>
              <w:pStyle w:val="Compact"/>
              <w:jc w:val="right"/>
            </w:pPr>
            <w:r>
              <w:t xml:space="preserve">-0.3093093</w:t>
            </w:r>
          </w:p>
        </w:tc>
        <w:tc>
          <w:tcPr/>
          <w:p>
            <w:pPr>
              <w:pStyle w:val="Compact"/>
              <w:jc w:val="right"/>
            </w:pPr>
            <w:r>
              <w:t xml:space="preserve">-0.5858169</w:t>
            </w:r>
          </w:p>
        </w:tc>
        <w:tc>
          <w:tcPr/>
          <w:p>
            <w:pPr>
              <w:pStyle w:val="Compact"/>
              <w:jc w:val="right"/>
            </w:pPr>
            <w:r>
              <w:t xml:space="preserve">-0.0328018</w:t>
            </w:r>
          </w:p>
        </w:tc>
        <w:tc>
          <w:tcPr/>
          <w:p>
            <w:pPr>
              <w:pStyle w:val="Compact"/>
              <w:jc w:val="right"/>
            </w:pPr>
            <w:r>
              <w:t xml:space="preserve">0.0136899</w:t>
            </w:r>
          </w:p>
        </w:tc>
      </w:tr>
      <w:tr>
        <w:tc>
          <w:tcPr/>
          <w:p>
            <w:pPr>
              <w:pStyle w:val="Compact"/>
              <w:jc w:val="left"/>
            </w:pPr>
            <w:r>
              <w:t xml:space="preserve">surprise-bitter</w:t>
            </w:r>
          </w:p>
        </w:tc>
        <w:tc>
          <w:tcPr/>
          <w:p>
            <w:pPr>
              <w:pStyle w:val="Compact"/>
              <w:jc w:val="right"/>
            </w:pPr>
            <w:r>
              <w:t xml:space="preserve">-0.2852853</w:t>
            </w:r>
          </w:p>
        </w:tc>
        <w:tc>
          <w:tcPr/>
          <w:p>
            <w:pPr>
              <w:pStyle w:val="Compact"/>
              <w:jc w:val="right"/>
            </w:pPr>
            <w:r>
              <w:t xml:space="preserve">-0.5617928</w:t>
            </w:r>
          </w:p>
        </w:tc>
        <w:tc>
          <w:tcPr/>
          <w:p>
            <w:pPr>
              <w:pStyle w:val="Compact"/>
              <w:jc w:val="right"/>
            </w:pPr>
            <w:r>
              <w:t xml:space="preserve">-0.0087777</w:t>
            </w:r>
          </w:p>
        </w:tc>
        <w:tc>
          <w:tcPr/>
          <w:p>
            <w:pPr>
              <w:pStyle w:val="Compact"/>
              <w:jc w:val="right"/>
            </w:pPr>
            <w:r>
              <w:t xml:space="preserve">0.0360645</w:t>
            </w:r>
          </w:p>
        </w:tc>
      </w:tr>
      <w:tr>
        <w:tc>
          <w:tcPr/>
          <w:p>
            <w:pPr>
              <w:pStyle w:val="Compact"/>
              <w:jc w:val="left"/>
            </w:pPr>
            <w:r>
              <w:t xml:space="preserve">disgust-cold</w:t>
            </w:r>
          </w:p>
        </w:tc>
        <w:tc>
          <w:tcPr/>
          <w:p>
            <w:pPr>
              <w:pStyle w:val="Compact"/>
              <w:jc w:val="right"/>
            </w:pPr>
            <w:r>
              <w:t xml:space="preserve">-0.6906907</w:t>
            </w:r>
          </w:p>
        </w:tc>
        <w:tc>
          <w:tcPr/>
          <w:p>
            <w:pPr>
              <w:pStyle w:val="Compact"/>
              <w:jc w:val="right"/>
            </w:pPr>
            <w:r>
              <w:t xml:space="preserve">-0.9671982</w:t>
            </w:r>
          </w:p>
        </w:tc>
        <w:tc>
          <w:tcPr/>
          <w:p>
            <w:pPr>
              <w:pStyle w:val="Compact"/>
              <w:jc w:val="right"/>
            </w:pPr>
            <w:r>
              <w:t xml:space="preserve">-0.4141831</w:t>
            </w:r>
          </w:p>
        </w:tc>
        <w:tc>
          <w:tcPr/>
          <w:p>
            <w:pPr>
              <w:pStyle w:val="Compact"/>
              <w:jc w:val="right"/>
            </w:pPr>
            <w:r>
              <w:t xml:space="preserve">0.0000000</w:t>
            </w:r>
          </w:p>
        </w:tc>
      </w:tr>
      <w:tr>
        <w:tc>
          <w:tcPr/>
          <w:p>
            <w:pPr>
              <w:pStyle w:val="Compact"/>
              <w:jc w:val="left"/>
            </w:pPr>
            <w:r>
              <w:t xml:space="preserve">happy-cold</w:t>
            </w:r>
          </w:p>
        </w:tc>
        <w:tc>
          <w:tcPr/>
          <w:p>
            <w:pPr>
              <w:pStyle w:val="Compact"/>
              <w:jc w:val="right"/>
            </w:pPr>
            <w:r>
              <w:t xml:space="preserve">-0.3663664</w:t>
            </w:r>
          </w:p>
        </w:tc>
        <w:tc>
          <w:tcPr/>
          <w:p>
            <w:pPr>
              <w:pStyle w:val="Compact"/>
              <w:jc w:val="right"/>
            </w:pPr>
            <w:r>
              <w:t xml:space="preserve">-0.6428739</w:t>
            </w:r>
          </w:p>
        </w:tc>
        <w:tc>
          <w:tcPr/>
          <w:p>
            <w:pPr>
              <w:pStyle w:val="Compact"/>
              <w:jc w:val="right"/>
            </w:pPr>
            <w:r>
              <w:t xml:space="preserve">-0.0898588</w:t>
            </w:r>
          </w:p>
        </w:tc>
        <w:tc>
          <w:tcPr/>
          <w:p>
            <w:pPr>
              <w:pStyle w:val="Compact"/>
              <w:jc w:val="right"/>
            </w:pPr>
            <w:r>
              <w:t xml:space="preserve">0.0009180</w:t>
            </w:r>
          </w:p>
        </w:tc>
      </w:tr>
      <w:tr>
        <w:tc>
          <w:tcPr/>
          <w:p>
            <w:pPr>
              <w:pStyle w:val="Compact"/>
              <w:jc w:val="left"/>
            </w:pPr>
            <w:r>
              <w:t xml:space="preserve">sour-cold</w:t>
            </w:r>
          </w:p>
        </w:tc>
        <w:tc>
          <w:tcPr/>
          <w:p>
            <w:pPr>
              <w:pStyle w:val="Compact"/>
              <w:jc w:val="right"/>
            </w:pPr>
            <w:r>
              <w:t xml:space="preserve">-0.2852853</w:t>
            </w:r>
          </w:p>
        </w:tc>
        <w:tc>
          <w:tcPr/>
          <w:p>
            <w:pPr>
              <w:pStyle w:val="Compact"/>
              <w:jc w:val="right"/>
            </w:pPr>
            <w:r>
              <w:t xml:space="preserve">-0.5617928</w:t>
            </w:r>
          </w:p>
        </w:tc>
        <w:tc>
          <w:tcPr/>
          <w:p>
            <w:pPr>
              <w:pStyle w:val="Compact"/>
              <w:jc w:val="right"/>
            </w:pPr>
            <w:r>
              <w:t xml:space="preserve">-0.0087777</w:t>
            </w:r>
          </w:p>
        </w:tc>
        <w:tc>
          <w:tcPr/>
          <w:p>
            <w:pPr>
              <w:pStyle w:val="Compact"/>
              <w:jc w:val="right"/>
            </w:pPr>
            <w:r>
              <w:t xml:space="preserve">0.0360645</w:t>
            </w:r>
          </w:p>
        </w:tc>
      </w:tr>
      <w:tr>
        <w:tc>
          <w:tcPr/>
          <w:p>
            <w:pPr>
              <w:pStyle w:val="Compact"/>
              <w:jc w:val="left"/>
            </w:pPr>
            <w:r>
              <w:t xml:space="preserve">surprise-cold</w:t>
            </w:r>
          </w:p>
        </w:tc>
        <w:tc>
          <w:tcPr/>
          <w:p>
            <w:pPr>
              <w:pStyle w:val="Compact"/>
              <w:jc w:val="right"/>
            </w:pPr>
            <w:r>
              <w:t xml:space="preserve">-0.3423423</w:t>
            </w:r>
          </w:p>
        </w:tc>
        <w:tc>
          <w:tcPr/>
          <w:p>
            <w:pPr>
              <w:pStyle w:val="Compact"/>
              <w:jc w:val="right"/>
            </w:pPr>
            <w:r>
              <w:t xml:space="preserve">-0.6188499</w:t>
            </w:r>
          </w:p>
        </w:tc>
        <w:tc>
          <w:tcPr/>
          <w:p>
            <w:pPr>
              <w:pStyle w:val="Compact"/>
              <w:jc w:val="right"/>
            </w:pPr>
            <w:r>
              <w:t xml:space="preserve">-0.0658348</w:t>
            </w:r>
          </w:p>
        </w:tc>
        <w:tc>
          <w:tcPr/>
          <w:p>
            <w:pPr>
              <w:pStyle w:val="Compact"/>
              <w:jc w:val="right"/>
            </w:pPr>
            <w:r>
              <w:t xml:space="preserve">0.0030580</w:t>
            </w:r>
          </w:p>
        </w:tc>
      </w:tr>
      <w:tr>
        <w:tc>
          <w:tcPr/>
          <w:p>
            <w:pPr>
              <w:pStyle w:val="Compact"/>
              <w:jc w:val="left"/>
            </w:pPr>
            <w:r>
              <w:t xml:space="preserve">fear-disgust</w:t>
            </w:r>
          </w:p>
        </w:tc>
        <w:tc>
          <w:tcPr/>
          <w:p>
            <w:pPr>
              <w:pStyle w:val="Compact"/>
              <w:jc w:val="right"/>
            </w:pPr>
            <w:r>
              <w:t xml:space="preserve">0.4324324</w:t>
            </w:r>
          </w:p>
        </w:tc>
        <w:tc>
          <w:tcPr/>
          <w:p>
            <w:pPr>
              <w:pStyle w:val="Compact"/>
              <w:jc w:val="right"/>
            </w:pPr>
            <w:r>
              <w:t xml:space="preserve">0.1559249</w:t>
            </w:r>
          </w:p>
        </w:tc>
        <w:tc>
          <w:tcPr/>
          <w:p>
            <w:pPr>
              <w:pStyle w:val="Compact"/>
              <w:jc w:val="right"/>
            </w:pPr>
            <w:r>
              <w:t xml:space="preserve">0.7089400</w:t>
            </w:r>
          </w:p>
        </w:tc>
        <w:tc>
          <w:tcPr/>
          <w:p>
            <w:pPr>
              <w:pStyle w:val="Compact"/>
              <w:jc w:val="right"/>
            </w:pPr>
            <w:r>
              <w:t xml:space="preserve">0.0000213</w:t>
            </w:r>
          </w:p>
        </w:tc>
      </w:tr>
      <w:tr>
        <w:tc>
          <w:tcPr/>
          <w:p>
            <w:pPr>
              <w:pStyle w:val="Compact"/>
              <w:jc w:val="left"/>
            </w:pPr>
            <w:r>
              <w:t xml:space="preserve">happy-disgust</w:t>
            </w:r>
          </w:p>
        </w:tc>
        <w:tc>
          <w:tcPr/>
          <w:p>
            <w:pPr>
              <w:pStyle w:val="Compact"/>
              <w:jc w:val="right"/>
            </w:pPr>
            <w:r>
              <w:t xml:space="preserve">0.3243243</w:t>
            </w:r>
          </w:p>
        </w:tc>
        <w:tc>
          <w:tcPr/>
          <w:p>
            <w:pPr>
              <w:pStyle w:val="Compact"/>
              <w:jc w:val="right"/>
            </w:pPr>
            <w:r>
              <w:t xml:space="preserve">0.0478168</w:t>
            </w:r>
          </w:p>
        </w:tc>
        <w:tc>
          <w:tcPr/>
          <w:p>
            <w:pPr>
              <w:pStyle w:val="Compact"/>
              <w:jc w:val="right"/>
            </w:pPr>
            <w:r>
              <w:t xml:space="preserve">0.6008319</w:t>
            </w:r>
          </w:p>
        </w:tc>
        <w:tc>
          <w:tcPr/>
          <w:p>
            <w:pPr>
              <w:pStyle w:val="Compact"/>
              <w:jc w:val="right"/>
            </w:pPr>
            <w:r>
              <w:t xml:space="preserve">0.0070884</w:t>
            </w:r>
          </w:p>
        </w:tc>
      </w:tr>
      <w:tr>
        <w:tc>
          <w:tcPr/>
          <w:p>
            <w:pPr>
              <w:pStyle w:val="Compact"/>
              <w:jc w:val="left"/>
            </w:pPr>
            <w:r>
              <w:t xml:space="preserve">hot-disgust</w:t>
            </w:r>
          </w:p>
        </w:tc>
        <w:tc>
          <w:tcPr/>
          <w:p>
            <w:pPr>
              <w:pStyle w:val="Compact"/>
              <w:jc w:val="right"/>
            </w:pPr>
            <w:r>
              <w:t xml:space="preserve">0.7447447</w:t>
            </w:r>
          </w:p>
        </w:tc>
        <w:tc>
          <w:tcPr/>
          <w:p>
            <w:pPr>
              <w:pStyle w:val="Compact"/>
              <w:jc w:val="right"/>
            </w:pPr>
            <w:r>
              <w:t xml:space="preserve">0.4682372</w:t>
            </w:r>
          </w:p>
        </w:tc>
        <w:tc>
          <w:tcPr/>
          <w:p>
            <w:pPr>
              <w:pStyle w:val="Compact"/>
              <w:jc w:val="right"/>
            </w:pPr>
            <w:r>
              <w:t xml:space="preserve">1.0212523</w:t>
            </w:r>
          </w:p>
        </w:tc>
        <w:tc>
          <w:tcPr/>
          <w:p>
            <w:pPr>
              <w:pStyle w:val="Compact"/>
              <w:jc w:val="right"/>
            </w:pPr>
            <w:r>
              <w:t xml:space="preserve">0.0000000</w:t>
            </w:r>
          </w:p>
        </w:tc>
      </w:tr>
      <w:tr>
        <w:tc>
          <w:tcPr/>
          <w:p>
            <w:pPr>
              <w:pStyle w:val="Compact"/>
              <w:jc w:val="left"/>
            </w:pPr>
            <w:r>
              <w:t xml:space="preserve">sad-disgust</w:t>
            </w:r>
          </w:p>
        </w:tc>
        <w:tc>
          <w:tcPr/>
          <w:p>
            <w:pPr>
              <w:pStyle w:val="Compact"/>
              <w:jc w:val="right"/>
            </w:pPr>
            <w:r>
              <w:t xml:space="preserve">0.7897898</w:t>
            </w:r>
          </w:p>
        </w:tc>
        <w:tc>
          <w:tcPr/>
          <w:p>
            <w:pPr>
              <w:pStyle w:val="Compact"/>
              <w:jc w:val="right"/>
            </w:pPr>
            <w:r>
              <w:t xml:space="preserve">0.5132822</w:t>
            </w:r>
          </w:p>
        </w:tc>
        <w:tc>
          <w:tcPr/>
          <w:p>
            <w:pPr>
              <w:pStyle w:val="Compact"/>
              <w:jc w:val="right"/>
            </w:pPr>
            <w:r>
              <w:t xml:space="preserve">1.0662973</w:t>
            </w:r>
          </w:p>
        </w:tc>
        <w:tc>
          <w:tcPr/>
          <w:p>
            <w:pPr>
              <w:pStyle w:val="Compact"/>
              <w:jc w:val="right"/>
            </w:pPr>
            <w:r>
              <w:t xml:space="preserve">0.0000000</w:t>
            </w:r>
          </w:p>
        </w:tc>
      </w:tr>
      <w:tr>
        <w:tc>
          <w:tcPr/>
          <w:p>
            <w:pPr>
              <w:pStyle w:val="Compact"/>
              <w:jc w:val="left"/>
            </w:pPr>
            <w:r>
              <w:t xml:space="preserve">salty-disgust</w:t>
            </w:r>
          </w:p>
        </w:tc>
        <w:tc>
          <w:tcPr/>
          <w:p>
            <w:pPr>
              <w:pStyle w:val="Compact"/>
              <w:jc w:val="right"/>
            </w:pPr>
            <w:r>
              <w:t xml:space="preserve">0.4684685</w:t>
            </w:r>
          </w:p>
        </w:tc>
        <w:tc>
          <w:tcPr/>
          <w:p>
            <w:pPr>
              <w:pStyle w:val="Compact"/>
              <w:jc w:val="right"/>
            </w:pPr>
            <w:r>
              <w:t xml:space="preserve">0.1919609</w:t>
            </w:r>
          </w:p>
        </w:tc>
        <w:tc>
          <w:tcPr/>
          <w:p>
            <w:pPr>
              <w:pStyle w:val="Compact"/>
              <w:jc w:val="right"/>
            </w:pPr>
            <w:r>
              <w:t xml:space="preserve">0.7449760</w:t>
            </w:r>
          </w:p>
        </w:tc>
        <w:tc>
          <w:tcPr/>
          <w:p>
            <w:pPr>
              <w:pStyle w:val="Compact"/>
              <w:jc w:val="right"/>
            </w:pPr>
            <w:r>
              <w:t xml:space="preserve">0.0000021</w:t>
            </w:r>
          </w:p>
        </w:tc>
      </w:tr>
      <w:tr>
        <w:tc>
          <w:tcPr/>
          <w:p>
            <w:pPr>
              <w:pStyle w:val="Compact"/>
              <w:jc w:val="left"/>
            </w:pPr>
            <w:r>
              <w:t xml:space="preserve">sour-disgust</w:t>
            </w:r>
          </w:p>
        </w:tc>
        <w:tc>
          <w:tcPr/>
          <w:p>
            <w:pPr>
              <w:pStyle w:val="Compact"/>
              <w:jc w:val="right"/>
            </w:pPr>
            <w:r>
              <w:t xml:space="preserve">0.4054054</w:t>
            </w:r>
          </w:p>
        </w:tc>
        <w:tc>
          <w:tcPr/>
          <w:p>
            <w:pPr>
              <w:pStyle w:val="Compact"/>
              <w:jc w:val="right"/>
            </w:pPr>
            <w:r>
              <w:t xml:space="preserve">0.1288979</w:t>
            </w:r>
          </w:p>
        </w:tc>
        <w:tc>
          <w:tcPr/>
          <w:p>
            <w:pPr>
              <w:pStyle w:val="Compact"/>
              <w:jc w:val="right"/>
            </w:pPr>
            <w:r>
              <w:t xml:space="preserve">0.6819130</w:t>
            </w:r>
          </w:p>
        </w:tc>
        <w:tc>
          <w:tcPr/>
          <w:p>
            <w:pPr>
              <w:pStyle w:val="Compact"/>
              <w:jc w:val="right"/>
            </w:pPr>
            <w:r>
              <w:t xml:space="preserve">0.0001074</w:t>
            </w:r>
          </w:p>
        </w:tc>
      </w:tr>
      <w:tr>
        <w:tc>
          <w:tcPr/>
          <w:p>
            <w:pPr>
              <w:pStyle w:val="Compact"/>
              <w:jc w:val="left"/>
            </w:pPr>
            <w:r>
              <w:t xml:space="preserve">surprise-disgust</w:t>
            </w:r>
          </w:p>
        </w:tc>
        <w:tc>
          <w:tcPr/>
          <w:p>
            <w:pPr>
              <w:pStyle w:val="Compact"/>
              <w:jc w:val="right"/>
            </w:pPr>
            <w:r>
              <w:t xml:space="preserve">0.3483483</w:t>
            </w:r>
          </w:p>
        </w:tc>
        <w:tc>
          <w:tcPr/>
          <w:p>
            <w:pPr>
              <w:pStyle w:val="Compact"/>
              <w:jc w:val="right"/>
            </w:pPr>
            <w:r>
              <w:t xml:space="preserve">0.0718408</w:t>
            </w:r>
          </w:p>
        </w:tc>
        <w:tc>
          <w:tcPr/>
          <w:p>
            <w:pPr>
              <w:pStyle w:val="Compact"/>
              <w:jc w:val="right"/>
            </w:pPr>
            <w:r>
              <w:t xml:space="preserve">0.6248559</w:t>
            </w:r>
          </w:p>
        </w:tc>
        <w:tc>
          <w:tcPr/>
          <w:p>
            <w:pPr>
              <w:pStyle w:val="Compact"/>
              <w:jc w:val="right"/>
            </w:pPr>
            <w:r>
              <w:t xml:space="preserve">0.0022833</w:t>
            </w:r>
          </w:p>
        </w:tc>
      </w:tr>
      <w:tr>
        <w:tc>
          <w:tcPr/>
          <w:p>
            <w:pPr>
              <w:pStyle w:val="Compact"/>
              <w:jc w:val="left"/>
            </w:pPr>
            <w:r>
              <w:t xml:space="preserve">sweet-disgust</w:t>
            </w:r>
          </w:p>
        </w:tc>
        <w:tc>
          <w:tcPr/>
          <w:p>
            <w:pPr>
              <w:pStyle w:val="Compact"/>
              <w:jc w:val="right"/>
            </w:pPr>
            <w:r>
              <w:t xml:space="preserve">0.5855856</w:t>
            </w:r>
          </w:p>
        </w:tc>
        <w:tc>
          <w:tcPr/>
          <w:p>
            <w:pPr>
              <w:pStyle w:val="Compact"/>
              <w:jc w:val="right"/>
            </w:pPr>
            <w:r>
              <w:t xml:space="preserve">0.3090780</w:t>
            </w:r>
          </w:p>
        </w:tc>
        <w:tc>
          <w:tcPr/>
          <w:p>
            <w:pPr>
              <w:pStyle w:val="Compact"/>
              <w:jc w:val="right"/>
            </w:pPr>
            <w:r>
              <w:t xml:space="preserve">0.8620931</w:t>
            </w:r>
          </w:p>
        </w:tc>
        <w:tc>
          <w:tcPr/>
          <w:p>
            <w:pPr>
              <w:pStyle w:val="Compact"/>
              <w:jc w:val="right"/>
            </w:pPr>
            <w:r>
              <w:t xml:space="preserve">0.0000000</w:t>
            </w:r>
          </w:p>
        </w:tc>
      </w:tr>
      <w:tr>
        <w:tc>
          <w:tcPr/>
          <w:p>
            <w:pPr>
              <w:pStyle w:val="Compact"/>
              <w:jc w:val="left"/>
            </w:pPr>
            <w:r>
              <w:t xml:space="preserve">hot-fear</w:t>
            </w:r>
          </w:p>
        </w:tc>
        <w:tc>
          <w:tcPr/>
          <w:p>
            <w:pPr>
              <w:pStyle w:val="Compact"/>
              <w:jc w:val="right"/>
            </w:pPr>
            <w:r>
              <w:t xml:space="preserve">0.3123123</w:t>
            </w:r>
          </w:p>
        </w:tc>
        <w:tc>
          <w:tcPr/>
          <w:p>
            <w:pPr>
              <w:pStyle w:val="Compact"/>
              <w:jc w:val="right"/>
            </w:pPr>
            <w:r>
              <w:t xml:space="preserve">0.0358048</w:t>
            </w:r>
          </w:p>
        </w:tc>
        <w:tc>
          <w:tcPr/>
          <w:p>
            <w:pPr>
              <w:pStyle w:val="Compact"/>
              <w:jc w:val="right"/>
            </w:pPr>
            <w:r>
              <w:t xml:space="preserve">0.5888199</w:t>
            </w:r>
          </w:p>
        </w:tc>
        <w:tc>
          <w:tcPr/>
          <w:p>
            <w:pPr>
              <w:pStyle w:val="Compact"/>
              <w:jc w:val="right"/>
            </w:pPr>
            <w:r>
              <w:t xml:space="preserve">0.0120394</w:t>
            </w:r>
          </w:p>
        </w:tc>
      </w:tr>
      <w:tr>
        <w:tc>
          <w:tcPr/>
          <w:p>
            <w:pPr>
              <w:pStyle w:val="Compact"/>
              <w:jc w:val="left"/>
            </w:pPr>
            <w:r>
              <w:t xml:space="preserve">sad-fear</w:t>
            </w:r>
          </w:p>
        </w:tc>
        <w:tc>
          <w:tcPr/>
          <w:p>
            <w:pPr>
              <w:pStyle w:val="Compact"/>
              <w:jc w:val="right"/>
            </w:pPr>
            <w:r>
              <w:t xml:space="preserve">0.3573574</w:t>
            </w:r>
          </w:p>
        </w:tc>
        <w:tc>
          <w:tcPr/>
          <w:p>
            <w:pPr>
              <w:pStyle w:val="Compact"/>
              <w:jc w:val="right"/>
            </w:pPr>
            <w:r>
              <w:t xml:space="preserve">0.0808498</w:t>
            </w:r>
          </w:p>
        </w:tc>
        <w:tc>
          <w:tcPr/>
          <w:p>
            <w:pPr>
              <w:pStyle w:val="Compact"/>
              <w:jc w:val="right"/>
            </w:pPr>
            <w:r>
              <w:t xml:space="preserve">0.6338649</w:t>
            </w:r>
          </w:p>
        </w:tc>
        <w:tc>
          <w:tcPr/>
          <w:p>
            <w:pPr>
              <w:pStyle w:val="Compact"/>
              <w:jc w:val="right"/>
            </w:pPr>
            <w:r>
              <w:t xml:space="preserve">0.0014571</w:t>
            </w:r>
          </w:p>
        </w:tc>
      </w:tr>
      <w:tr>
        <w:tc>
          <w:tcPr/>
          <w:p>
            <w:pPr>
              <w:pStyle w:val="Compact"/>
              <w:jc w:val="left"/>
            </w:pPr>
            <w:r>
              <w:t xml:space="preserve">hot-happy</w:t>
            </w:r>
          </w:p>
        </w:tc>
        <w:tc>
          <w:tcPr/>
          <w:p>
            <w:pPr>
              <w:pStyle w:val="Compact"/>
              <w:jc w:val="right"/>
            </w:pPr>
            <w:r>
              <w:t xml:space="preserve">0.4204204</w:t>
            </w:r>
          </w:p>
        </w:tc>
        <w:tc>
          <w:tcPr/>
          <w:p>
            <w:pPr>
              <w:pStyle w:val="Compact"/>
              <w:jc w:val="right"/>
            </w:pPr>
            <w:r>
              <w:t xml:space="preserve">0.1439129</w:t>
            </w:r>
          </w:p>
        </w:tc>
        <w:tc>
          <w:tcPr/>
          <w:p>
            <w:pPr>
              <w:pStyle w:val="Compact"/>
              <w:jc w:val="right"/>
            </w:pPr>
            <w:r>
              <w:t xml:space="preserve">0.6969280</w:t>
            </w:r>
          </w:p>
        </w:tc>
        <w:tc>
          <w:tcPr/>
          <w:p>
            <w:pPr>
              <w:pStyle w:val="Compact"/>
              <w:jc w:val="right"/>
            </w:pPr>
            <w:r>
              <w:t xml:space="preserve">0.0000443</w:t>
            </w:r>
          </w:p>
        </w:tc>
      </w:tr>
      <w:tr>
        <w:tc>
          <w:tcPr/>
          <w:p>
            <w:pPr>
              <w:pStyle w:val="Compact"/>
              <w:jc w:val="left"/>
            </w:pPr>
            <w:r>
              <w:t xml:space="preserve">sad-happy</w:t>
            </w:r>
          </w:p>
        </w:tc>
        <w:tc>
          <w:tcPr/>
          <w:p>
            <w:pPr>
              <w:pStyle w:val="Compact"/>
              <w:jc w:val="right"/>
            </w:pPr>
            <w:r>
              <w:t xml:space="preserve">0.4654655</w:t>
            </w:r>
          </w:p>
        </w:tc>
        <w:tc>
          <w:tcPr/>
          <w:p>
            <w:pPr>
              <w:pStyle w:val="Compact"/>
              <w:jc w:val="right"/>
            </w:pPr>
            <w:r>
              <w:t xml:space="preserve">0.1889579</w:t>
            </w:r>
          </w:p>
        </w:tc>
        <w:tc>
          <w:tcPr/>
          <w:p>
            <w:pPr>
              <w:pStyle w:val="Compact"/>
              <w:jc w:val="right"/>
            </w:pPr>
            <w:r>
              <w:t xml:space="preserve">0.7419730</w:t>
            </w:r>
          </w:p>
        </w:tc>
        <w:tc>
          <w:tcPr/>
          <w:p>
            <w:pPr>
              <w:pStyle w:val="Compact"/>
              <w:jc w:val="right"/>
            </w:pPr>
            <w:r>
              <w:t xml:space="preserve">0.0000026</w:t>
            </w:r>
          </w:p>
        </w:tc>
      </w:tr>
      <w:tr>
        <w:tc>
          <w:tcPr/>
          <w:p>
            <w:pPr>
              <w:pStyle w:val="Compact"/>
              <w:jc w:val="left"/>
            </w:pPr>
            <w:r>
              <w:t xml:space="preserve">sour-hot</w:t>
            </w:r>
          </w:p>
        </w:tc>
        <w:tc>
          <w:tcPr/>
          <w:p>
            <w:pPr>
              <w:pStyle w:val="Compact"/>
              <w:jc w:val="right"/>
            </w:pPr>
            <w:r>
              <w:t xml:space="preserve">-0.3393393</w:t>
            </w:r>
          </w:p>
        </w:tc>
        <w:tc>
          <w:tcPr/>
          <w:p>
            <w:pPr>
              <w:pStyle w:val="Compact"/>
              <w:jc w:val="right"/>
            </w:pPr>
            <w:r>
              <w:t xml:space="preserve">-0.6158469</w:t>
            </w:r>
          </w:p>
        </w:tc>
        <w:tc>
          <w:tcPr/>
          <w:p>
            <w:pPr>
              <w:pStyle w:val="Compact"/>
              <w:jc w:val="right"/>
            </w:pPr>
            <w:r>
              <w:t xml:space="preserve">-0.0628318</w:t>
            </w:r>
          </w:p>
        </w:tc>
        <w:tc>
          <w:tcPr/>
          <w:p>
            <w:pPr>
              <w:pStyle w:val="Compact"/>
              <w:jc w:val="right"/>
            </w:pPr>
            <w:r>
              <w:t xml:space="preserve">0.0035312</w:t>
            </w:r>
          </w:p>
        </w:tc>
      </w:tr>
      <w:tr>
        <w:tc>
          <w:tcPr/>
          <w:p>
            <w:pPr>
              <w:pStyle w:val="Compact"/>
              <w:jc w:val="left"/>
            </w:pPr>
            <w:r>
              <w:t xml:space="preserve">surprise-hot</w:t>
            </w:r>
          </w:p>
        </w:tc>
        <w:tc>
          <w:tcPr/>
          <w:p>
            <w:pPr>
              <w:pStyle w:val="Compact"/>
              <w:jc w:val="right"/>
            </w:pPr>
            <w:r>
              <w:t xml:space="preserve">-0.3963964</w:t>
            </w:r>
          </w:p>
        </w:tc>
        <w:tc>
          <w:tcPr/>
          <w:p>
            <w:pPr>
              <w:pStyle w:val="Compact"/>
              <w:jc w:val="right"/>
            </w:pPr>
            <w:r>
              <w:t xml:space="preserve">-0.6729040</w:t>
            </w:r>
          </w:p>
        </w:tc>
        <w:tc>
          <w:tcPr/>
          <w:p>
            <w:pPr>
              <w:pStyle w:val="Compact"/>
              <w:jc w:val="right"/>
            </w:pPr>
            <w:r>
              <w:t xml:space="preserve">-0.1198888</w:t>
            </w:r>
          </w:p>
        </w:tc>
        <w:tc>
          <w:tcPr/>
          <w:p>
            <w:pPr>
              <w:pStyle w:val="Compact"/>
              <w:jc w:val="right"/>
            </w:pPr>
            <w:r>
              <w:t xml:space="preserve">0.0001798</w:t>
            </w:r>
          </w:p>
        </w:tc>
      </w:tr>
      <w:tr>
        <w:tc>
          <w:tcPr/>
          <w:p>
            <w:pPr>
              <w:pStyle w:val="Compact"/>
              <w:jc w:val="left"/>
            </w:pPr>
            <w:r>
              <w:t xml:space="preserve">salty-sad</w:t>
            </w:r>
          </w:p>
        </w:tc>
        <w:tc>
          <w:tcPr/>
          <w:p>
            <w:pPr>
              <w:pStyle w:val="Compact"/>
              <w:jc w:val="right"/>
            </w:pPr>
            <w:r>
              <w:t xml:space="preserve">-0.3213213</w:t>
            </w:r>
          </w:p>
        </w:tc>
        <w:tc>
          <w:tcPr/>
          <w:p>
            <w:pPr>
              <w:pStyle w:val="Compact"/>
              <w:jc w:val="right"/>
            </w:pPr>
            <w:r>
              <w:t xml:space="preserve">-0.5978289</w:t>
            </w:r>
          </w:p>
        </w:tc>
        <w:tc>
          <w:tcPr/>
          <w:p>
            <w:pPr>
              <w:pStyle w:val="Compact"/>
              <w:jc w:val="right"/>
            </w:pPr>
            <w:r>
              <w:t xml:space="preserve">-0.0448138</w:t>
            </w:r>
          </w:p>
        </w:tc>
        <w:tc>
          <w:tcPr/>
          <w:p>
            <w:pPr>
              <w:pStyle w:val="Compact"/>
              <w:jc w:val="right"/>
            </w:pPr>
            <w:r>
              <w:t xml:space="preserve">0.0081111</w:t>
            </w:r>
          </w:p>
        </w:tc>
      </w:tr>
      <w:tr>
        <w:tc>
          <w:tcPr/>
          <w:p>
            <w:pPr>
              <w:pStyle w:val="Compact"/>
              <w:jc w:val="left"/>
            </w:pPr>
            <w:r>
              <w:t xml:space="preserve">sour-sad</w:t>
            </w:r>
          </w:p>
        </w:tc>
        <w:tc>
          <w:tcPr/>
          <w:p>
            <w:pPr>
              <w:pStyle w:val="Compact"/>
              <w:jc w:val="right"/>
            </w:pPr>
            <w:r>
              <w:t xml:space="preserve">-0.3843844</w:t>
            </w:r>
          </w:p>
        </w:tc>
        <w:tc>
          <w:tcPr/>
          <w:p>
            <w:pPr>
              <w:pStyle w:val="Compact"/>
              <w:jc w:val="right"/>
            </w:pPr>
            <w:r>
              <w:t xml:space="preserve">-0.6608919</w:t>
            </w:r>
          </w:p>
        </w:tc>
        <w:tc>
          <w:tcPr/>
          <w:p>
            <w:pPr>
              <w:pStyle w:val="Compact"/>
              <w:jc w:val="right"/>
            </w:pPr>
            <w:r>
              <w:t xml:space="preserve">-0.1078768</w:t>
            </w:r>
          </w:p>
        </w:tc>
        <w:tc>
          <w:tcPr/>
          <w:p>
            <w:pPr>
              <w:pStyle w:val="Compact"/>
              <w:jc w:val="right"/>
            </w:pPr>
            <w:r>
              <w:t xml:space="preserve">0.0003509</w:t>
            </w:r>
          </w:p>
        </w:tc>
      </w:tr>
      <w:tr>
        <w:tc>
          <w:tcPr/>
          <w:p>
            <w:pPr>
              <w:pStyle w:val="Compact"/>
              <w:jc w:val="left"/>
            </w:pPr>
            <w:r>
              <w:t xml:space="preserve">surprise-sad</w:t>
            </w:r>
          </w:p>
        </w:tc>
        <w:tc>
          <w:tcPr/>
          <w:p>
            <w:pPr>
              <w:pStyle w:val="Compact"/>
              <w:jc w:val="right"/>
            </w:pPr>
            <w:r>
              <w:t xml:space="preserve">-0.4414414</w:t>
            </w:r>
          </w:p>
        </w:tc>
        <w:tc>
          <w:tcPr/>
          <w:p>
            <w:pPr>
              <w:pStyle w:val="Compact"/>
              <w:jc w:val="right"/>
            </w:pPr>
            <w:r>
              <w:t xml:space="preserve">-0.7179490</w:t>
            </w:r>
          </w:p>
        </w:tc>
        <w:tc>
          <w:tcPr/>
          <w:p>
            <w:pPr>
              <w:pStyle w:val="Compact"/>
              <w:jc w:val="right"/>
            </w:pPr>
            <w:r>
              <w:t xml:space="preserve">-0.1649339</w:t>
            </w:r>
          </w:p>
        </w:tc>
        <w:tc>
          <w:tcPr/>
          <w:p>
            <w:pPr>
              <w:pStyle w:val="Compact"/>
              <w:jc w:val="right"/>
            </w:pPr>
            <w:r>
              <w:t xml:space="preserve">0.0000122</w:t>
            </w:r>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 </w:t>
      </w:r>
    </w:p>
    <w:p>
      <w:pPr>
        <w:pStyle w:val="TableCaption"/>
      </w:pPr>
      <w:r>
        <w:t xml:space="preserve">Tukey test between different hearing experience groups with a</w:t>
      </w:r>
      <w:r>
        <w:t xml:space="preserve"> </w:t>
      </w:r>
      <m:oMath>
        <m:r>
          <m:t>p</m:t>
        </m:r>
      </m:oMath>
      <w:r>
        <w:t xml:space="preserve">-value lower 0.05.</w:t>
      </w:r>
    </w:p>
    <w:tbl>
      <w:tblPr>
        <w:tblStyle w:val="Table"/>
        <w:tblW w:type="pct" w:w="5000"/>
        <w:tblLayout w:type="fixed"/>
        <w:tblLook w:firstRow="1" w:lastRow="0" w:firstColumn="0" w:lastColumn="0" w:noHBand="0" w:noVBand="0" w:val="0020"/>
        <w:tblCaption w:val="Tukey test between different hearing experience groups with a p-value lower 0.05."/>
      </w:tblPr>
      <w:tblGrid>
        <w:gridCol w:w="2837"/>
        <w:gridCol w:w="1300"/>
        <w:gridCol w:w="1300"/>
        <w:gridCol w:w="1300"/>
        <w:gridCol w:w="1182"/>
      </w:tblGrid>
      <w:tr>
        <w:trPr>
          <w:tblHeader w:val="on"/>
        </w:trPr>
        <w:tc>
          <w:tcPr/>
          <w:p>
            <w:pPr>
              <w:pStyle w:val="Compact"/>
            </w:pPr>
          </w:p>
        </w:tc>
        <w:tc>
          <w:tcPr/>
          <w:p>
            <w:pPr>
              <w:pStyle w:val="Compact"/>
              <w:jc w:val="right"/>
            </w:pPr>
            <w:r>
              <w:t xml:space="preserve">diff</w:t>
            </w:r>
          </w:p>
        </w:tc>
        <w:tc>
          <w:tcPr/>
          <w:p>
            <w:pPr>
              <w:pStyle w:val="Compact"/>
              <w:jc w:val="right"/>
            </w:pPr>
            <w:r>
              <w:t xml:space="preserve">lwr</w:t>
            </w:r>
          </w:p>
        </w:tc>
        <w:tc>
          <w:tcPr/>
          <w:p>
            <w:pPr>
              <w:pStyle w:val="Compact"/>
              <w:jc w:val="right"/>
            </w:pPr>
            <w:r>
              <w:t xml:space="preserve">upr</w:t>
            </w:r>
          </w:p>
        </w:tc>
        <w:tc>
          <w:tcPr/>
          <w:p>
            <w:pPr>
              <w:pStyle w:val="Compact"/>
              <w:jc w:val="right"/>
            </w:pPr>
            <w:r>
              <w:t xml:space="preserve">p adj</w:t>
            </w:r>
          </w:p>
        </w:tc>
      </w:tr>
      <w:tr>
        <w:tc>
          <w:tcPr/>
          <w:p>
            <w:pPr>
              <w:pStyle w:val="Compact"/>
              <w:jc w:val="left"/>
            </w:pPr>
            <w:r>
              <w:t xml:space="preserve">Amateur-Professional</w:t>
            </w:r>
          </w:p>
        </w:tc>
        <w:tc>
          <w:tcPr/>
          <w:p>
            <w:pPr>
              <w:pStyle w:val="Compact"/>
              <w:jc w:val="right"/>
            </w:pPr>
            <w:r>
              <w:t xml:space="preserve">0.2268160</w:t>
            </w:r>
          </w:p>
        </w:tc>
        <w:tc>
          <w:tcPr/>
          <w:p>
            <w:pPr>
              <w:pStyle w:val="Compact"/>
              <w:jc w:val="right"/>
            </w:pPr>
            <w:r>
              <w:t xml:space="preserve">0.1318865</w:t>
            </w:r>
          </w:p>
        </w:tc>
        <w:tc>
          <w:tcPr/>
          <w:p>
            <w:pPr>
              <w:pStyle w:val="Compact"/>
              <w:jc w:val="right"/>
            </w:pPr>
            <w:r>
              <w:t xml:space="preserve">0.3217454</w:t>
            </w:r>
          </w:p>
        </w:tc>
        <w:tc>
          <w:tcPr/>
          <w:p>
            <w:pPr>
              <w:pStyle w:val="Compact"/>
              <w:jc w:val="right"/>
            </w:pPr>
            <w:r>
              <w:t xml:space="preserve">0.0000001</w:t>
            </w:r>
          </w:p>
        </w:tc>
      </w:tr>
      <w:tr>
        <w:tc>
          <w:tcPr/>
          <w:p>
            <w:pPr>
              <w:pStyle w:val="Compact"/>
              <w:jc w:val="left"/>
            </w:pPr>
            <w:r>
              <w:t xml:space="preserve">Not-experienced-Amateur</w:t>
            </w:r>
          </w:p>
        </w:tc>
        <w:tc>
          <w:tcPr/>
          <w:p>
            <w:pPr>
              <w:pStyle w:val="Compact"/>
              <w:jc w:val="right"/>
            </w:pPr>
            <w:r>
              <w:t xml:space="preserve">-0.1684003</w:t>
            </w:r>
          </w:p>
        </w:tc>
        <w:tc>
          <w:tcPr/>
          <w:p>
            <w:pPr>
              <w:pStyle w:val="Compact"/>
              <w:jc w:val="right"/>
            </w:pPr>
            <w:r>
              <w:t xml:space="preserve">-0.2698267</w:t>
            </w:r>
          </w:p>
        </w:tc>
        <w:tc>
          <w:tcPr/>
          <w:p>
            <w:pPr>
              <w:pStyle w:val="Compact"/>
              <w:jc w:val="right"/>
            </w:pPr>
            <w:r>
              <w:t xml:space="preserve">-0.0669739</w:t>
            </w:r>
          </w:p>
        </w:tc>
        <w:tc>
          <w:tcPr/>
          <w:p>
            <w:pPr>
              <w:pStyle w:val="Compact"/>
              <w:jc w:val="right"/>
            </w:pPr>
            <w:r>
              <w:t xml:space="preserve">0.0002967</w:t>
            </w:r>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These significant comparisons illuminate the subtleties in participants’ responses to different stimuli. Certain prompt-adjective combinations elicited stronger emotional reactions than others, indicating that the interaction between prompts and adjectives significantly shapes participants’ perceptions.</w:t>
      </w:r>
      <w:r>
        <w:t xml:space="preserve"> </w:t>
      </w:r>
      <w:r>
        <w:t xml:space="preserve">Notably, some combinations yielded adjusted</w:t>
      </w:r>
      <w:r>
        <w:t xml:space="preserve"> </w:t>
      </w:r>
      <m:oMath>
        <m:r>
          <m:t>p</m:t>
        </m:r>
      </m:oMath>
      <w:r>
        <w:t xml:space="preserve">-values below the conventional threshold of</w:t>
      </w:r>
      <w:r>
        <w:t xml:space="preserve"> </w:t>
      </w:r>
      <m:oMath>
        <m:r>
          <m:t>0.05</m:t>
        </m:r>
      </m:oMath>
      <w:r>
        <w:t xml:space="preserve">, signifying statistically significant differences. This finding reinforces the ANOVA results, confirming that the presentation of prompts and adjectives can meaningfully impact emotional responses.</w:t>
      </w:r>
    </w:p>
    <w:bookmarkEnd w:id="75"/>
    <w:bookmarkStart w:id="85" w:name="interaction-between-prompt-and-adjective"/>
    <w:p>
      <w:pPr>
        <w:pStyle w:val="Heading3"/>
      </w:pPr>
      <w:r>
        <w:t xml:space="preserve">Interaction between</w:t>
      </w:r>
      <w:r>
        <w:t xml:space="preserve"> </w:t>
      </w:r>
      <w:r>
        <w:rPr>
          <w:i/>
          <w:iCs/>
        </w:rPr>
        <w:t xml:space="preserve">prompt</w:t>
      </w:r>
      <w:r>
        <w:t xml:space="preserve"> </w:t>
      </w:r>
      <w:r>
        <w:t xml:space="preserve">and</w:t>
      </w:r>
      <w:r>
        <w:t xml:space="preserve"> </w:t>
      </w:r>
      <w:r>
        <w:rPr>
          <w:i/>
          <w:iCs/>
        </w:rPr>
        <w:t xml:space="preserve">adjective</w:t>
      </w:r>
    </w:p>
    <w:p>
      <w:pPr>
        <w:pStyle w:val="FirstParagraph"/>
      </w:pPr>
      <w:r>
        <w:t xml:space="preserve">The ANOVA analysis evidenced also a significant interaction between prompt and adjectives used to evaluate the sounds, as we know, the design of the experiment fixed the prompt before generating the audio files, therefore adjectives has to be intended as dependent variables while the prompts are independent; in other words, participants assigned different values to the adjectives to the sounds on the basis of their generation prompt. This interaction can be seen in</w:t>
      </w:r>
      <w:r>
        <w:t xml:space="preserve"> </w:t>
      </w:r>
      <w:hyperlink w:anchor="fig-heatmap">
        <w:r>
          <w:rPr>
            <w:rStyle w:val="Hyperlink"/>
          </w:rPr>
          <w:t xml:space="preserve">Figure 6</w:t>
        </w:r>
      </w:hyperlink>
      <w:r>
        <w:t xml:space="preserve">. In particular</w:t>
      </w:r>
      <w:r>
        <w:t xml:space="preserve"> </w:t>
      </w:r>
      <w:hyperlink w:anchor="fig-heatmap-taste">
        <w:r>
          <w:rPr>
            <w:rStyle w:val="Hyperlink"/>
          </w:rPr>
          <w:t xml:space="preserve">Figure 6 (a)</w:t>
        </w:r>
      </w:hyperlink>
      <w:r>
        <w:t xml:space="preserve"> </w:t>
      </w:r>
      <w:r>
        <w:t xml:space="preserve">shows the mean value assigned to each taste adjective by their prompt, we can clearly seen the major diagonal emerge by the</w:t>
      </w:r>
      <w:r>
        <w:t xml:space="preserve"> </w:t>
      </w:r>
      <m:oMath>
        <m:r>
          <m:t>4</m:t>
        </m:r>
        <m:r>
          <m:rPr>
            <m:sty m:val="p"/>
          </m:rPr>
          <m:t>×</m:t>
        </m:r>
        <m:r>
          <m:t>4</m:t>
        </m:r>
      </m:oMath>
      <w:r>
        <w:t xml:space="preserve"> </w:t>
      </w:r>
      <w:r>
        <w:t xml:space="preserve">matrix, this means that, the mean value assigned to the adjective that matches the prompt of each sound is the highest. The rest of the interaction between adjectives and prompt can be seen in</w:t>
      </w:r>
      <w:r>
        <w:t xml:space="preserve"> </w:t>
      </w:r>
      <w:hyperlink w:anchor="fig-heatmap-emotions">
        <w:r>
          <w:rPr>
            <w:rStyle w:val="Hyperlink"/>
          </w:rPr>
          <w:t xml:space="preserve">Figure 6 (b)</w:t>
        </w:r>
      </w:hyperlink>
      <w:r>
        <w:t xml:space="preserve"> </w:t>
      </w:r>
      <w:r>
        <w:t xml:space="preserve">, a deeper analysis of emotional aspect assigned to the sounds is presented in the next section.</w:t>
      </w:r>
    </w:p>
    <w:bookmarkStart w:id="84" w:name="fig-heatma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79" w:name="fig-heatmap-taste"/>
                <w:p>
                  <w:pPr>
                    <w:jc w:val="center"/>
                    <w:jc w:val="left"/>
                  </w:pPr>
                  <w:r>
                    <w:drawing>
                      <wp:inline>
                        <wp:extent cx="2971800" cy="2377440"/>
                        <wp:effectExtent b="0" l="0" r="0" t="0"/>
                        <wp:docPr descr="" title="" id="77" name="Picture"/>
                        <a:graphic>
                          <a:graphicData uri="http://schemas.openxmlformats.org/drawingml/2006/picture">
                            <pic:pic>
                              <pic:nvPicPr>
                                <pic:cNvPr descr="index_files/figure-docx/unnamed-chunk-19-1.png" id="78" name="Picture"/>
                                <pic:cNvPicPr>
                                  <a:picLocks noChangeArrowheads="1" noChangeAspect="1"/>
                                </pic:cNvPicPr>
                              </pic:nvPicPr>
                              <pic:blipFill>
                                <a:blip r:embed="rId76"/>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(a) Heatmap of perceived taste in correspondence of the intended one.</w:t>
                  </w:r>
                </w:p>
                <w:bookmarkEnd w:id="7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83" w:name="fig-heatmap-emotions"/>
                <w:p>
                  <w:pPr>
                    <w:jc w:val="center"/>
                    <w:jc w:val="left"/>
                  </w:pPr>
                  <w:r>
                    <w:drawing>
                      <wp:inline>
                        <wp:extent cx="2971800" cy="2377440"/>
                        <wp:effectExtent b="0" l="0" r="0" t="0"/>
                        <wp:docPr descr="" title="" id="81" name="Picture"/>
                        <a:graphic>
                          <a:graphicData uri="http://schemas.openxmlformats.org/drawingml/2006/picture">
                            <pic:pic>
                              <pic:nvPicPr>
                                <pic:cNvPr descr="index_files/figure-docx/unnamed-chunk-20-1.png" id="82" name="Picture"/>
                                <pic:cNvPicPr>
                                  <a:picLocks noChangeArrowheads="1" noChangeAspect="1"/>
                                </pic:cNvPicPr>
                              </pic:nvPicPr>
                              <pic:blipFill>
                                <a:blip r:embed="rId80"/>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(b) Heatmap of perceived emotional response in correspondence of the suggested taste.</w:t>
                  </w:r>
                </w:p>
                <w:bookmarkEnd w:id="83"/>
              </w:tc>
            </w:tr>
          </w:tbl>
          <w:p/>
        </w:tc>
      </w:tr>
    </w:tbl>
    <w:p>
      <w:pPr>
        <w:pStyle w:val="BodyText"/>
      </w:pPr>
      <w:pPr>
        <w:spacing w:before="200"/>
        <w:pStyle w:val="ImageCaption"/>
      </w:pPr>
      <w:r>
        <w:t xml:space="preserve">Figure 6: Heatmaps</w:t>
      </w:r>
    </w:p>
    <w:bookmarkEnd w:id="84"/>
    <w:bookmarkEnd w:id="85"/>
    <w:bookmarkStart w:id="122" w:name="factorial-analysis"/>
    <w:p>
      <w:pPr>
        <w:pStyle w:val="Heading3"/>
      </w:pPr>
      <w:r>
        <w:t xml:space="preserve">Factorial analysis</w:t>
      </w:r>
    </w:p>
    <w:p>
      <w:pPr>
        <w:pStyle w:val="FirstParagraph"/>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To explore the underlying relationships between sensory qualities and emotional states, we conducted a factor analysis on the standardized data, excluding the</w:t>
      </w:r>
      <w:r>
        <w:t xml:space="preserve"> </w:t>
      </w:r>
      <w:r>
        <w:t xml:space="preserve">‘taste’</w:t>
      </w:r>
      <w:r>
        <w:t xml:space="preserve"> </w:t>
      </w:r>
      <w:r>
        <w:t xml:space="preserve">column. The initial step involved calculating the correlation matrix, which revealed notable relationships among the adjectives. Specifically, we observed that negative emotions were positively correlated, while the pair happy-sad exhibited a negative correlation. Furthermore, sweetness demonstrated a strong correlation with happiness and warmth, whereas bitterness was associated with anger and fear. Sourness, on the other hand, was evidently correlated with disgust and fear. Other variables did not show strong correlations at first glance, prompting us to proceed with the factor analysis.</w:t>
      </w:r>
    </w:p>
    <w:bookmarkStart w:id="90" w:name="cell-fig-corr-matrix"/>
    <w:tbl>
      <w:tblPr>
        <w:tblStyle w:val="Table"/>
        <w:tblW w:type="pct" w:w="5000"/>
        <w:tblLayout w:type="fixed"/>
        <w:tblLook w:firstRow="0" w:lastRow="0" w:firstColumn="0" w:lastColumn="0" w:noHBand="0" w:noVBand="0" w:val="0000"/>
      </w:tblPr>
      <w:tblGrid>
        <w:gridCol w:w="7920"/>
      </w:tblGrid>
      <w:tr>
        <w:tc>
          <w:tcPr/>
          <w:bookmarkStart w:id="89" w:name="fig-corr-matrix"/>
          <w:p>
            <w:pPr>
              <w:pStyle w:val="Compact"/>
              <w:jc w:val="center"/>
            </w:pPr>
            <w:r>
              <w:drawing>
                <wp:inline>
                  <wp:extent cx="4620126" cy="3696101"/>
                  <wp:effectExtent b="0" l="0" r="0" t="0"/>
                  <wp:docPr descr="" title="" id="87" name="Picture"/>
                  <a:graphic>
                    <a:graphicData uri="http://schemas.openxmlformats.org/drawingml/2006/picture">
                      <pic:pic>
                        <pic:nvPicPr>
                          <pic:cNvPr descr="index_files/figure-docx/fig-corr-matrix-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Correlation matrix</w:t>
            </w:r>
          </w:p>
          <w:bookmarkEnd w:id="89"/>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90"/>
    <w:p>
      <w:pPr>
        <w:pStyle w:val="BodyText"/>
      </w:pPr>
      <w:r>
        <w:t xml:space="preserve">The correlation matrix is illustrated in</w:t>
      </w:r>
      <w:r>
        <w:t xml:space="preserve"> </w:t>
      </w:r>
      <w:hyperlink w:anchor="fig-corr-matrix">
        <w:r>
          <w:rPr>
            <w:rStyle w:val="Hyperlink"/>
          </w:rPr>
          <w:t xml:space="preserve">Figure 7</w:t>
        </w:r>
      </w:hyperlink>
      <w:r>
        <w:t xml:space="preserve">, showcasing these relationships clearly.</w:t>
      </w:r>
    </w:p>
    <w:bookmarkStart w:id="95" w:name="cell-fig-scree-plots"/>
    <w:p>
      <w:pPr>
        <w:pStyle w:val="SourceCode"/>
      </w:pPr>
      <w:r>
        <w:rPr>
          <w:rStyle w:val="VerbatimChar"/>
        </w:rPr>
        <w:t xml:space="preserve">Parallel analysis suggests that the number of factors =  4  and the number of components =  NA </w:t>
      </w:r>
    </w:p>
    <w:tbl>
      <w:tblPr>
        <w:tblStyle w:val="Table"/>
        <w:tblW w:type="pct" w:w="5000"/>
        <w:tblLayout w:type="fixed"/>
        <w:tblLook w:firstRow="0" w:lastRow="0" w:firstColumn="0" w:lastColumn="0" w:noHBand="0" w:noVBand="0" w:val="0000"/>
      </w:tblPr>
      <w:tblGrid>
        <w:gridCol w:w="7920"/>
      </w:tblGrid>
      <w:tr>
        <w:tc>
          <w:tcPr/>
          <w:bookmarkStart w:id="94" w:name="fig-scree-plots"/>
          <w:p>
            <w:pPr>
              <w:pStyle w:val="Compact"/>
              <w:jc w:val="center"/>
            </w:pPr>
            <w:r>
              <w:drawing>
                <wp:inline>
                  <wp:extent cx="4620126" cy="3696101"/>
                  <wp:effectExtent b="0" l="0" r="0" t="0"/>
                  <wp:docPr descr="" title="" id="92" name="Picture"/>
                  <a:graphic>
                    <a:graphicData uri="http://schemas.openxmlformats.org/drawingml/2006/picture">
                      <pic:pic>
                        <pic:nvPicPr>
                          <pic:cNvPr descr="index_files/figure-docx/fig-scree-plots-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Parallel Analysis Scree Plots</w:t>
            </w:r>
          </w:p>
          <w:bookmarkEnd w:id="94"/>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95"/>
    <w:p>
      <w:pPr>
        <w:pStyle w:val="BodyText"/>
      </w:pPr>
      <w:r>
        <w:t xml:space="preserve">To determine the optimal number of factors for our analysis, we employed parallel analysis, which indicated an optimal number of 4 factors. This estimation serves as a foundation for our subsequent factor analysis.</w:t>
      </w:r>
      <w:r>
        <w:t xml:space="preserve"> </w:t>
      </w:r>
      <w:r>
        <w:t xml:space="preserve">Following this, we executed the factor analysis using the identified number of factors, applying an oblique rotation (oblimin) to allow for potential correlations among the factors. The results of the factor analysis, including the factor loadings, are presented in the output. The factor loadings indicate how strongly each variable contributes to the identified factors, providing insights into the underlying structure of the data.</w:t>
      </w:r>
    </w:p>
    <w:bookmarkStart w:id="100" w:name="cell-fig-factor-analysis"/>
    <w:tbl>
      <w:tblPr>
        <w:tblStyle w:val="Table"/>
        <w:tblW w:type="pct" w:w="5000"/>
        <w:tblLayout w:type="fixed"/>
        <w:tblLook w:firstRow="0" w:lastRow="0" w:firstColumn="0" w:lastColumn="0" w:noHBand="0" w:noVBand="0" w:val="0000"/>
      </w:tblPr>
      <w:tblGrid>
        <w:gridCol w:w="7920"/>
      </w:tblGrid>
      <w:tr>
        <w:tc>
          <w:tcPr/>
          <w:bookmarkStart w:id="99" w:name="fig-factor-analysis"/>
          <w:p>
            <w:pPr>
              <w:pStyle w:val="Compact"/>
              <w:jc w:val="center"/>
            </w:pPr>
            <w:r>
              <w:drawing>
                <wp:inline>
                  <wp:extent cx="4620126" cy="3696101"/>
                  <wp:effectExtent b="0" l="0" r="0" t="0"/>
                  <wp:docPr descr="" title="" id="97" name="Picture"/>
                  <a:graphic>
                    <a:graphicData uri="http://schemas.openxmlformats.org/drawingml/2006/picture">
                      <pic:pic>
                        <pic:nvPicPr>
                          <pic:cNvPr descr="index_files/figure-docx/fig-factor-analysis-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Factor analysis graph.</w:t>
            </w:r>
          </w:p>
          <w:bookmarkEnd w:id="99"/>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100"/>
    <w:p>
      <w:pPr>
        <w:pStyle w:val="SourceCode"/>
      </w:pPr>
      <w:r>
        <w:br/>
      </w:r>
      <w:r>
        <w:rPr>
          <w:rStyle w:val="VerbatimChar"/>
        </w:rPr>
        <w:t xml:space="preserve">Loadings:</w:t>
      </w:r>
      <w:r>
        <w:br/>
      </w:r>
      <w:r>
        <w:rPr>
          <w:rStyle w:val="VerbatimChar"/>
        </w:rPr>
        <w:t xml:space="preserve">         ML3    ML1    ML2    ML4   </w:t>
      </w:r>
      <w:r>
        <w:br/>
      </w:r>
      <w:r>
        <w:rPr>
          <w:rStyle w:val="VerbatimChar"/>
        </w:rPr>
        <w:t xml:space="preserve">salty           -0.231  0.111  0.535</w:t>
      </w:r>
      <w:r>
        <w:br/>
      </w:r>
      <w:r>
        <w:rPr>
          <w:rStyle w:val="VerbatimChar"/>
        </w:rPr>
        <w:t xml:space="preserve">sweet            0.992              </w:t>
      </w:r>
      <w:r>
        <w:br/>
      </w:r>
      <w:r>
        <w:rPr>
          <w:rStyle w:val="VerbatimChar"/>
        </w:rPr>
        <w:t xml:space="preserve">bitter    0.502                     </w:t>
      </w:r>
      <w:r>
        <w:br/>
      </w:r>
      <w:r>
        <w:rPr>
          <w:rStyle w:val="VerbatimChar"/>
        </w:rPr>
        <w:t xml:space="preserve">sour      0.385 -0.128  0.178  0.226</w:t>
      </w:r>
      <w:r>
        <w:br/>
      </w:r>
      <w:r>
        <w:rPr>
          <w:rStyle w:val="VerbatimChar"/>
        </w:rPr>
        <w:t xml:space="preserve">happy    -0.197  0.302 -0.132  0.492</w:t>
      </w:r>
      <w:r>
        <w:br/>
      </w:r>
      <w:r>
        <w:rPr>
          <w:rStyle w:val="VerbatimChar"/>
        </w:rPr>
        <w:t xml:space="preserve">sad       0.292  0.259  0.236       </w:t>
      </w:r>
      <w:r>
        <w:br/>
      </w:r>
      <w:r>
        <w:rPr>
          <w:rStyle w:val="VerbatimChar"/>
        </w:rPr>
        <w:t xml:space="preserve">anger     0.779                     </w:t>
      </w:r>
      <w:r>
        <w:br/>
      </w:r>
      <w:r>
        <w:rPr>
          <w:rStyle w:val="VerbatimChar"/>
        </w:rPr>
        <w:t xml:space="preserve">disgust   0.694               -0.133</w:t>
      </w:r>
      <w:r>
        <w:br/>
      </w:r>
      <w:r>
        <w:rPr>
          <w:rStyle w:val="VerbatimChar"/>
        </w:rPr>
        <w:t xml:space="preserve">fear      0.662         0.133  0.113</w:t>
      </w:r>
      <w:r>
        <w:br/>
      </w:r>
      <w:r>
        <w:rPr>
          <w:rStyle w:val="VerbatimChar"/>
        </w:rPr>
        <w:t xml:space="preserve">surprise                0.120  0.526</w:t>
      </w:r>
      <w:r>
        <w:br/>
      </w:r>
      <w:r>
        <w:rPr>
          <w:rStyle w:val="VerbatimChar"/>
        </w:rPr>
        <w:t xml:space="preserve">hot       0.140  0.361 -0.458  0.267</w:t>
      </w:r>
      <w:r>
        <w:br/>
      </w:r>
      <w:r>
        <w:rPr>
          <w:rStyle w:val="VerbatimChar"/>
        </w:rPr>
        <w:t xml:space="preserve">cold                    0.882       </w:t>
      </w:r>
      <w:r>
        <w:br/>
      </w:r>
      <w:r>
        <w:br/>
      </w:r>
      <w:r>
        <w:rPr>
          <w:rStyle w:val="VerbatimChar"/>
        </w:rPr>
        <w:t xml:space="preserve">                 ML3   ML1   ML2   ML4</w:t>
      </w:r>
      <w:r>
        <w:br/>
      </w:r>
      <w:r>
        <w:rPr>
          <w:rStyle w:val="VerbatimChar"/>
        </w:rPr>
        <w:t xml:space="preserve">SS loadings    2.083 1.360 1.146 0.971</w:t>
      </w:r>
      <w:r>
        <w:br/>
      </w:r>
      <w:r>
        <w:rPr>
          <w:rStyle w:val="VerbatimChar"/>
        </w:rPr>
        <w:t xml:space="preserve">Proportion Var 0.174 0.113 0.096 0.081</w:t>
      </w:r>
      <w:r>
        <w:br/>
      </w:r>
      <w:r>
        <w:rPr>
          <w:rStyle w:val="VerbatimChar"/>
        </w:rPr>
        <w:t xml:space="preserve">Cumulative Var 0.174 0.287 0.382 0.463</w:t>
      </w:r>
    </w:p>
    <w:p>
      <w:pPr>
        <w:pStyle w:val="FirstParagraph"/>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To visualize the relationships among the factors, we generated biplots for various factor combinations. The biplots, shown in the subsequent figures, illustrate the distribution of variables across the identified factors, highlighting the clustering of adjectives associated with similar emotional states.</w:t>
      </w:r>
    </w:p>
    <w:bookmarkStart w:id="117" w:name="fig-fa-biplot"/>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04" w:name="fig-fa-biplot-1"/>
                <w:p>
                  <w:pPr>
                    <w:jc w:val="center"/>
                    <w:jc w:val="left"/>
                  </w:pPr>
                  <w:r>
                    <w:drawing>
                      <wp:inline>
                        <wp:extent cx="2971800" cy="2377440"/>
                        <wp:effectExtent b="0" l="0" r="0" t="0"/>
                        <wp:docPr descr="" title="" id="102" name="Picture"/>
                        <a:graphic>
                          <a:graphicData uri="http://schemas.openxmlformats.org/drawingml/2006/picture">
                            <pic:pic>
                              <pic:nvPicPr>
                                <pic:cNvPr descr="index_files/figure-docx/unnamed-chunk-26-1.png" id="103" name="Picture"/>
                                <pic:cNvPicPr>
                                  <a:picLocks noChangeArrowheads="1" noChangeAspect="1"/>
                                </pic:cNvPicPr>
                              </pic:nvPicPr>
                              <pic:blipFill>
                                <a:blip r:embed="rId101"/>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(a)</w:t>
                  </w:r>
                </w:p>
                <w:bookmarkEnd w:id="104"/>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08" w:name="fig-fa-biplot-2"/>
                <w:p>
                  <w:pPr>
                    <w:jc w:val="center"/>
                    <w:jc w:val="left"/>
                  </w:pPr>
                  <w:r>
                    <w:drawing>
                      <wp:inline>
                        <wp:extent cx="2971800" cy="2377440"/>
                        <wp:effectExtent b="0" l="0" r="0" t="0"/>
                        <wp:docPr descr="" title="" id="106" name="Picture"/>
                        <a:graphic>
                          <a:graphicData uri="http://schemas.openxmlformats.org/drawingml/2006/picture">
                            <pic:pic>
                              <pic:nvPicPr>
                                <pic:cNvPr descr="index_files/figure-docx/unnamed-chunk-27-1.png" id="107" name="Picture"/>
                                <pic:cNvPicPr>
                                  <a:picLocks noChangeArrowheads="1" noChangeAspect="1"/>
                                </pic:cNvPicPr>
                              </pic:nvPicPr>
                              <pic:blipFill>
                                <a:blip r:embed="rId105"/>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(b)</w:t>
                  </w:r>
                </w:p>
                <w:bookmarkEnd w:id="10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12" w:name="fig-fa-biplot-3"/>
                <w:p>
                  <w:pPr>
                    <w:jc w:val="center"/>
                    <w:jc w:val="left"/>
                  </w:pPr>
                  <w:r>
                    <w:drawing>
                      <wp:inline>
                        <wp:extent cx="2971800" cy="2377440"/>
                        <wp:effectExtent b="0" l="0" r="0" t="0"/>
                        <wp:docPr descr="" title="" id="110" name="Picture"/>
                        <a:graphic>
                          <a:graphicData uri="http://schemas.openxmlformats.org/drawingml/2006/picture">
                            <pic:pic>
                              <pic:nvPicPr>
                                <pic:cNvPr descr="index_files/figure-docx/unnamed-chunk-28-1.png" id="111" name="Picture"/>
                                <pic:cNvPicPr>
                                  <a:picLocks noChangeArrowheads="1" noChangeAspect="1"/>
                                </pic:cNvPicPr>
                              </pic:nvPicPr>
                              <pic:blipFill>
                                <a:blip r:embed="rId109"/>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(c)</w:t>
                  </w:r>
                </w:p>
                <w:bookmarkEnd w:id="112"/>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116" w:name="fig-fa-biplot-4"/>
                <w:p>
                  <w:pPr>
                    <w:jc w:val="center"/>
                    <w:jc w:val="left"/>
                  </w:pPr>
                  <w:r>
                    <w:drawing>
                      <wp:inline>
                        <wp:extent cx="2971800" cy="2377440"/>
                        <wp:effectExtent b="0" l="0" r="0" t="0"/>
                        <wp:docPr descr="" title="" id="114" name="Picture"/>
                        <a:graphic>
                          <a:graphicData uri="http://schemas.openxmlformats.org/drawingml/2006/picture">
                            <pic:pic>
                              <pic:nvPicPr>
                                <pic:cNvPr descr="index_files/figure-docx/unnamed-chunk-29-1.png" id="115" name="Picture"/>
                                <pic:cNvPicPr>
                                  <a:picLocks noChangeArrowheads="1" noChangeAspect="1"/>
                                </pic:cNvPicPr>
                              </pic:nvPicPr>
                              <pic:blipFill>
                                <a:blip r:embed="rId113"/>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(d)</w:t>
                  </w:r>
                </w:p>
                <w:bookmarkEnd w:id="116"/>
              </w:tc>
            </w:tr>
          </w:tbl>
          <w:p/>
        </w:tc>
      </w:tr>
    </w:tbl>
    <w:p>
      <w:pPr>
        <w:pStyle w:val="BodyText"/>
      </w:pPr>
      <w:pPr>
        <w:spacing w:before="200"/>
        <w:pStyle w:val="ImageCaption"/>
      </w:pPr>
      <w:r>
        <w:t xml:space="preserve">Figure 10: Loadings biplot over the four factors.</w:t>
      </w:r>
    </w:p>
    <w:bookmarkEnd w:id="117"/>
    <w:p>
      <w:pPr>
        <w:pStyle w:val="BodyText"/>
      </w:pPr>
      <w:r>
        <w:t xml:space="preserve"> </w:t>
      </w:r>
    </w:p>
    <w:tbl>
      <w:tblPr>
        <w:tblStyle w:val="Table"/>
        <w:tblW w:type="pct" w:w="5000"/>
        <w:tblLayout w:type="fixed"/>
        <w:tblLook w:firstRow="1" w:lastRow="0" w:firstColumn="0" w:lastColumn="0" w:noHBand="0" w:noVBand="0" w:val="0020"/>
      </w:tblPr>
      <w:tblGrid>
        <w:gridCol w:w="482"/>
        <w:gridCol w:w="1859"/>
        <w:gridCol w:w="1859"/>
        <w:gridCol w:w="1859"/>
        <w:gridCol w:w="1859"/>
      </w:tblGrid>
      <w:tr>
        <w:trPr>
          <w:tblHeader w:val="on"/>
        </w:trPr>
        <w:tc>
          <w:tcPr/>
          <w:p>
            <w:pPr>
              <w:pStyle w:val="Compact"/>
              <w:jc w:val="left"/>
            </w:pPr>
            <w:r>
              <w:t xml:space="preserve">Prompt</w:t>
            </w:r>
          </w:p>
        </w:tc>
        <w:tc>
          <w:tcPr/>
          <w:p>
            <w:pPr>
              <w:pStyle w:val="Compact"/>
              <w:jc w:val="left"/>
            </w:pPr>
            <w:r>
              <w:t xml:space="preserve">Fattore 1</w:t>
            </w:r>
          </w:p>
        </w:tc>
        <w:tc>
          <w:tcPr/>
          <w:p>
            <w:pPr>
              <w:pStyle w:val="Compact"/>
              <w:jc w:val="left"/>
            </w:pPr>
            <w:r>
              <w:t xml:space="preserve">Fattore 2</w:t>
            </w:r>
          </w:p>
        </w:tc>
        <w:tc>
          <w:tcPr/>
          <w:p>
            <w:pPr>
              <w:pStyle w:val="Compact"/>
              <w:jc w:val="left"/>
            </w:pPr>
            <w:r>
              <w:t xml:space="preserve">Fattore 3</w:t>
            </w:r>
          </w:p>
        </w:tc>
        <w:tc>
          <w:tcPr/>
          <w:p>
            <w:pPr>
              <w:pStyle w:val="Compact"/>
              <w:jc w:val="left"/>
            </w:pPr>
            <w:r>
              <w:t xml:space="preserve">Fattore 4</w:t>
            </w:r>
          </w:p>
        </w:tc>
      </w:tr>
      <w:tr>
        <w:tc>
          <w:tcPr/>
          <w:p>
            <w:pPr>
              <w:pStyle w:val="Compact"/>
              <w:jc w:val="left"/>
            </w:pPr>
            <w:r>
              <w:t xml:space="preserve">bitter</w:t>
            </w:r>
          </w:p>
        </w:tc>
        <w:tc>
          <w:tcPr/>
          <w:p>
            <w:pPr>
              <w:pStyle w:val="Compact"/>
              <w:jc w:val="left"/>
            </w:pPr>
            <m:oMath>
              <m:r>
                <m:t>μ</m:t>
              </m:r>
              <m:r>
                <m:rPr>
                  <m:sty m:val="p"/>
                </m:rPr>
                <m:t>=</m:t>
              </m:r>
              <m:r>
                <m:rPr>
                  <m:sty m:val="p"/>
                </m:rPr>
                <m:t>−</m:t>
              </m:r>
              <m:r>
                <m:t>0.01</m:t>
              </m:r>
            </m:oMath>
            <w:r>
              <w:t xml:space="preserve">,</w:t>
            </w:r>
            <w:r>
              <w:t xml:space="preserve"> </w:t>
            </w:r>
            <m:oMath>
              <m:r>
                <m:t>σ</m:t>
              </m:r>
              <m:r>
                <m:rPr>
                  <m:sty m:val="p"/>
                </m:rPr>
                <m:t>=</m:t>
              </m:r>
              <m:r>
                <m:t>0.82</m:t>
              </m:r>
            </m:oMath>
          </w:p>
        </w:tc>
        <w:tc>
          <w:tcPr/>
          <w:p>
            <w:pPr>
              <w:pStyle w:val="Compact"/>
              <w:jc w:val="left"/>
            </w:pPr>
            <m:oMath>
              <m:r>
                <m:t>μ</m:t>
              </m:r>
              <m:r>
                <m:rPr>
                  <m:sty m:val="p"/>
                </m:rPr>
                <m:t>=</m:t>
              </m:r>
              <m:r>
                <m:rPr>
                  <m:sty m:val="p"/>
                </m:rPr>
                <m:t>−</m:t>
              </m:r>
              <m:r>
                <m:t>0.06</m:t>
              </m:r>
            </m:oMath>
            <w:r>
              <w:t xml:space="preserve">,</w:t>
            </w:r>
            <w:r>
              <w:t xml:space="preserve"> </w:t>
            </w:r>
            <m:oMath>
              <m:r>
                <m:t>σ</m:t>
              </m:r>
              <m:r>
                <m:rPr>
                  <m:sty m:val="p"/>
                </m:rPr>
                <m:t>=</m:t>
              </m:r>
              <m:r>
                <m:t>0.99</m:t>
              </m:r>
            </m:oMath>
          </w:p>
        </w:tc>
        <w:tc>
          <w:tcPr/>
          <w:p>
            <w:pPr>
              <w:pStyle w:val="Compact"/>
              <w:jc w:val="left"/>
            </w:pPr>
            <m:oMath>
              <m:r>
                <m:t>μ</m:t>
              </m:r>
              <m:r>
                <m:rPr>
                  <m:sty m:val="p"/>
                </m:rPr>
                <m:t>=</m:t>
              </m:r>
              <m:r>
                <m:t>0.04</m:t>
              </m:r>
            </m:oMath>
            <w:r>
              <w:t xml:space="preserve">,</w:t>
            </w:r>
            <w:r>
              <w:t xml:space="preserve"> </w:t>
            </w:r>
            <m:oMath>
              <m:r>
                <m:t>σ</m:t>
              </m:r>
              <m:r>
                <m:rPr>
                  <m:sty m:val="p"/>
                </m:rPr>
                <m:t>=</m:t>
              </m:r>
              <m:r>
                <m:t>0.91</m:t>
              </m:r>
            </m:oMath>
          </w:p>
        </w:tc>
        <w:tc>
          <w:tcPr/>
          <w:p>
            <w:pPr>
              <w:pStyle w:val="Compact"/>
              <w:jc w:val="left"/>
            </w:pPr>
            <m:oMath>
              <m:r>
                <m:t>μ</m:t>
              </m:r>
              <m:r>
                <m:rPr>
                  <m:sty m:val="p"/>
                </m:rPr>
                <m:t>=</m:t>
              </m:r>
              <m:r>
                <m:rPr>
                  <m:sty m:val="p"/>
                </m:rPr>
                <m:t>−</m:t>
              </m:r>
              <m:r>
                <m:t>0.16</m:t>
              </m:r>
            </m:oMath>
            <w:r>
              <w:t xml:space="preserve">,</w:t>
            </w:r>
            <w:r>
              <w:t xml:space="preserve"> </w:t>
            </w:r>
            <m:oMath>
              <m:r>
                <m:t>σ</m:t>
              </m:r>
              <m:r>
                <m:rPr>
                  <m:sty m:val="p"/>
                </m:rPr>
                <m:t>=</m:t>
              </m:r>
              <m:r>
                <m:t>0.69</m:t>
              </m:r>
            </m:oMath>
          </w:p>
        </w:tc>
      </w:tr>
      <w:tr>
        <w:tc>
          <w:tcPr/>
          <w:p>
            <w:pPr>
              <w:pStyle w:val="Compact"/>
              <w:jc w:val="left"/>
            </w:pPr>
            <w:r>
              <w:t xml:space="preserve">salty</w:t>
            </w:r>
          </w:p>
        </w:tc>
        <w:tc>
          <w:tcPr/>
          <w:p>
            <w:pPr>
              <w:pStyle w:val="Compact"/>
              <w:jc w:val="left"/>
            </w:pPr>
            <m:oMath>
              <m:r>
                <m:t>μ</m:t>
              </m:r>
              <m:r>
                <m:rPr>
                  <m:sty m:val="p"/>
                </m:rPr>
                <m:t>=</m:t>
              </m:r>
              <m:r>
                <m:rPr>
                  <m:sty m:val="p"/>
                </m:rPr>
                <m:t>−</m:t>
              </m:r>
              <m:r>
                <m:t>0.13</m:t>
              </m:r>
            </m:oMath>
            <w:r>
              <w:t xml:space="preserve">,</w:t>
            </w:r>
            <w:r>
              <w:t xml:space="preserve"> </w:t>
            </w:r>
            <m:oMath>
              <m:r>
                <m:t>σ</m:t>
              </m:r>
              <m:r>
                <m:rPr>
                  <m:sty m:val="p"/>
                </m:rPr>
                <m:t>=</m:t>
              </m:r>
              <m:r>
                <m:t>0.87</m:t>
              </m:r>
            </m:oMath>
          </w:p>
        </w:tc>
        <w:tc>
          <w:tcPr/>
          <w:p>
            <w:pPr>
              <w:pStyle w:val="Compact"/>
              <w:jc w:val="left"/>
            </w:pPr>
            <m:oMath>
              <m:r>
                <m:t>μ</m:t>
              </m:r>
              <m:r>
                <m:rPr>
                  <m:sty m:val="p"/>
                </m:rPr>
                <m:t>=</m:t>
              </m:r>
              <m:r>
                <m:rPr>
                  <m:sty m:val="p"/>
                </m:rPr>
                <m:t>−</m:t>
              </m:r>
              <m:r>
                <m:t>0.03</m:t>
              </m:r>
            </m:oMath>
            <w:r>
              <w:t xml:space="preserve">,</w:t>
            </w:r>
            <w:r>
              <w:t xml:space="preserve"> </w:t>
            </w:r>
            <m:oMath>
              <m:r>
                <m:t>σ</m:t>
              </m:r>
              <m:r>
                <m:rPr>
                  <m:sty m:val="p"/>
                </m:rPr>
                <m:t>=</m:t>
              </m:r>
              <m:r>
                <m:t>0.98</m:t>
              </m:r>
            </m:oMath>
          </w:p>
        </w:tc>
        <w:tc>
          <w:tcPr/>
          <w:p>
            <w:pPr>
              <w:pStyle w:val="Compact"/>
              <w:jc w:val="left"/>
            </w:pPr>
            <m:oMath>
              <m:r>
                <m:t>μ</m:t>
              </m:r>
              <m:r>
                <m:rPr>
                  <m:sty m:val="p"/>
                </m:rPr>
                <m:t>=</m:t>
              </m:r>
              <m:r>
                <m:t>0.01</m:t>
              </m:r>
            </m:oMath>
            <w:r>
              <w:t xml:space="preserve">,</w:t>
            </w:r>
            <w:r>
              <w:t xml:space="preserve"> </w:t>
            </w:r>
            <m:oMath>
              <m:r>
                <m:t>σ</m:t>
              </m:r>
              <m:r>
                <m:rPr>
                  <m:sty m:val="p"/>
                </m:rPr>
                <m:t>=</m:t>
              </m:r>
              <m:r>
                <m:t>0.94</m:t>
              </m:r>
            </m:oMath>
          </w:p>
        </w:tc>
        <w:tc>
          <w:tcPr/>
          <w:p>
            <w:pPr>
              <w:pStyle w:val="Compact"/>
              <w:jc w:val="left"/>
            </w:pPr>
            <m:oMath>
              <m:r>
                <m:t>μ</m:t>
              </m:r>
              <m:r>
                <m:rPr>
                  <m:sty m:val="p"/>
                </m:rPr>
                <m:t>=</m:t>
              </m:r>
              <m:r>
                <m:t>0.02</m:t>
              </m:r>
            </m:oMath>
            <w:r>
              <w:t xml:space="preserve">,</w:t>
            </w:r>
            <w:r>
              <w:t xml:space="preserve"> </w:t>
            </w:r>
            <m:oMath>
              <m:r>
                <m:t>σ</m:t>
              </m:r>
              <m:r>
                <m:rPr>
                  <m:sty m:val="p"/>
                </m:rPr>
                <m:t>=</m:t>
              </m:r>
              <m:r>
                <m:t>0.94</m:t>
              </m:r>
            </m:oMath>
          </w:p>
        </w:tc>
      </w:tr>
      <w:tr>
        <w:tc>
          <w:tcPr/>
          <w:p>
            <w:pPr>
              <w:pStyle w:val="Compact"/>
              <w:jc w:val="left"/>
            </w:pPr>
            <w:r>
              <w:t xml:space="preserve">sour</w:t>
            </w:r>
          </w:p>
        </w:tc>
        <w:tc>
          <w:tcPr/>
          <w:p>
            <w:pPr>
              <w:pStyle w:val="Compact"/>
              <w:jc w:val="left"/>
            </w:pPr>
            <m:oMath>
              <m:r>
                <m:t>μ</m:t>
              </m:r>
              <m:r>
                <m:rPr>
                  <m:sty m:val="p"/>
                </m:rPr>
                <m:t>=</m:t>
              </m:r>
              <m:r>
                <m:t>0.50</m:t>
              </m:r>
            </m:oMath>
            <w:r>
              <w:t xml:space="preserve">,</w:t>
            </w:r>
            <w:r>
              <w:t xml:space="preserve"> </w:t>
            </w:r>
            <m:oMath>
              <m:r>
                <m:t>σ</m:t>
              </m:r>
              <m:r>
                <m:rPr>
                  <m:sty m:val="p"/>
                </m:rPr>
                <m:t>=</m:t>
              </m:r>
              <m:r>
                <m:t>1.02</m:t>
              </m:r>
            </m:oMath>
          </w:p>
        </w:tc>
        <w:tc>
          <w:tcPr/>
          <w:p>
            <w:pPr>
              <w:pStyle w:val="Compact"/>
              <w:jc w:val="left"/>
            </w:pPr>
            <m:oMath>
              <m:r>
                <m:t>μ</m:t>
              </m:r>
              <m:r>
                <m:rPr>
                  <m:sty m:val="p"/>
                </m:rPr>
                <m:t>=</m:t>
              </m:r>
              <m:r>
                <m:rPr>
                  <m:sty m:val="p"/>
                </m:rPr>
                <m:t>−</m:t>
              </m:r>
              <m:r>
                <m:t>0.39</m:t>
              </m:r>
            </m:oMath>
            <w:r>
              <w:t xml:space="preserve">,</w:t>
            </w:r>
            <w:r>
              <w:t xml:space="preserve"> </w:t>
            </w:r>
            <m:oMath>
              <m:r>
                <m:t>σ</m:t>
              </m:r>
              <m:r>
                <m:rPr>
                  <m:sty m:val="p"/>
                </m:rPr>
                <m:t>=</m:t>
              </m:r>
              <m:r>
                <m:t>0.79</m:t>
              </m:r>
            </m:oMath>
          </w:p>
        </w:tc>
        <w:tc>
          <w:tcPr/>
          <w:p>
            <w:pPr>
              <w:pStyle w:val="Compact"/>
              <w:jc w:val="left"/>
            </w:pPr>
            <m:oMath>
              <m:r>
                <m:t>μ</m:t>
              </m:r>
              <m:r>
                <m:rPr>
                  <m:sty m:val="p"/>
                </m:rPr>
                <m:t>=</m:t>
              </m:r>
              <m:r>
                <m:t>0.23</m:t>
              </m:r>
            </m:oMath>
            <w:r>
              <w:t xml:space="preserve">,</w:t>
            </w:r>
            <w:r>
              <w:t xml:space="preserve"> </w:t>
            </w:r>
            <m:oMath>
              <m:r>
                <m:t>σ</m:t>
              </m:r>
              <m:r>
                <m:rPr>
                  <m:sty m:val="p"/>
                </m:rPr>
                <m:t>=</m:t>
              </m:r>
              <m:r>
                <m:t>0.93</m:t>
              </m:r>
            </m:oMath>
          </w:p>
        </w:tc>
        <w:tc>
          <w:tcPr/>
          <w:p>
            <w:pPr>
              <w:pStyle w:val="Compact"/>
              <w:jc w:val="left"/>
            </w:pPr>
            <m:oMath>
              <m:r>
                <m:t>μ</m:t>
              </m:r>
              <m:r>
                <m:rPr>
                  <m:sty m:val="p"/>
                </m:rPr>
                <m:t>=</m:t>
              </m:r>
              <m:r>
                <m:t>0.11</m:t>
              </m:r>
            </m:oMath>
            <w:r>
              <w:t xml:space="preserve">,</w:t>
            </w:r>
            <w:r>
              <w:t xml:space="preserve"> </w:t>
            </w:r>
            <m:oMath>
              <m:r>
                <m:t>σ</m:t>
              </m:r>
              <m:r>
                <m:rPr>
                  <m:sty m:val="p"/>
                </m:rPr>
                <m:t>=</m:t>
              </m:r>
              <m:r>
                <m:t>0.74</m:t>
              </m:r>
            </m:oMath>
          </w:p>
        </w:tc>
      </w:tr>
      <w:tr>
        <w:tc>
          <w:tcPr/>
          <w:p>
            <w:pPr>
              <w:pStyle w:val="Compact"/>
              <w:jc w:val="left"/>
            </w:pPr>
            <w:r>
              <w:t xml:space="preserve">sweet</w:t>
            </w:r>
          </w:p>
        </w:tc>
        <w:tc>
          <w:tcPr/>
          <w:p>
            <w:pPr>
              <w:pStyle w:val="Compact"/>
              <w:jc w:val="left"/>
            </w:pPr>
            <m:oMath>
              <m:r>
                <m:t>μ</m:t>
              </m:r>
              <m:r>
                <m:rPr>
                  <m:sty m:val="p"/>
                </m:rPr>
                <m:t>=</m:t>
              </m:r>
              <m:r>
                <m:rPr>
                  <m:sty m:val="p"/>
                </m:rPr>
                <m:t>−</m:t>
              </m:r>
              <m:r>
                <m:t>0.30</m:t>
              </m:r>
            </m:oMath>
            <w:r>
              <w:t xml:space="preserve">,</w:t>
            </w:r>
            <w:r>
              <w:t xml:space="preserve"> </w:t>
            </w:r>
            <m:oMath>
              <m:r>
                <m:t>σ</m:t>
              </m:r>
              <m:r>
                <m:rPr>
                  <m:sty m:val="p"/>
                </m:rPr>
                <m:t>=</m:t>
              </m:r>
              <m:r>
                <m:t>0.74</m:t>
              </m:r>
            </m:oMath>
          </w:p>
        </w:tc>
        <w:tc>
          <w:tcPr/>
          <w:p>
            <w:pPr>
              <w:pStyle w:val="Compact"/>
              <w:jc w:val="left"/>
            </w:pPr>
            <m:oMath>
              <m:r>
                <m:t>μ</m:t>
              </m:r>
              <m:r>
                <m:rPr>
                  <m:sty m:val="p"/>
                </m:rPr>
                <m:t>=</m:t>
              </m:r>
              <m:r>
                <m:t>0.43</m:t>
              </m:r>
            </m:oMath>
            <w:r>
              <w:t xml:space="preserve">,</w:t>
            </w:r>
            <w:r>
              <w:t xml:space="preserve"> </w:t>
            </w:r>
            <m:oMath>
              <m:r>
                <m:t>σ</m:t>
              </m:r>
              <m:r>
                <m:rPr>
                  <m:sty m:val="p"/>
                </m:rPr>
                <m:t>=</m:t>
              </m:r>
              <m:r>
                <m:t>1.04</m:t>
              </m:r>
            </m:oMath>
          </w:p>
        </w:tc>
        <w:tc>
          <w:tcPr/>
          <w:p>
            <w:pPr>
              <w:pStyle w:val="Compact"/>
              <w:jc w:val="left"/>
            </w:pPr>
            <m:oMath>
              <m:r>
                <m:t>μ</m:t>
              </m:r>
              <m:r>
                <m:rPr>
                  <m:sty m:val="p"/>
                </m:rPr>
                <m:t>=</m:t>
              </m:r>
              <m:r>
                <m:rPr>
                  <m:sty m:val="p"/>
                </m:rPr>
                <m:t>−</m:t>
              </m:r>
              <m:r>
                <m:t>0.26</m:t>
              </m:r>
            </m:oMath>
            <w:r>
              <w:t xml:space="preserve">,</w:t>
            </w:r>
            <w:r>
              <w:t xml:space="preserve"> </w:t>
            </w:r>
            <m:oMath>
              <m:r>
                <m:t>σ</m:t>
              </m:r>
              <m:r>
                <m:rPr>
                  <m:sty m:val="p"/>
                </m:rPr>
                <m:t>=</m:t>
              </m:r>
              <m:r>
                <m:t>0.82</m:t>
              </m:r>
            </m:oMath>
          </w:p>
        </w:tc>
        <w:tc>
          <w:tcPr/>
          <w:p>
            <w:pPr>
              <w:pStyle w:val="Compact"/>
              <w:jc w:val="left"/>
            </w:pPr>
            <m:oMath>
              <m:r>
                <m:t>μ</m:t>
              </m:r>
              <m:r>
                <m:rPr>
                  <m:sty m:val="p"/>
                </m:rPr>
                <m:t>=</m:t>
              </m:r>
              <m:r>
                <m:t>0.05</m:t>
              </m:r>
            </m:oMath>
            <w:r>
              <w:t xml:space="preserve">,</w:t>
            </w:r>
            <w:r>
              <w:t xml:space="preserve"> </w:t>
            </w:r>
            <m:oMath>
              <m:r>
                <m:t>σ</m:t>
              </m:r>
              <m:r>
                <m:rPr>
                  <m:sty m:val="p"/>
                </m:rPr>
                <m:t>=</m:t>
              </m:r>
              <m:r>
                <m:t>0.80</m:t>
              </m:r>
            </m:oMath>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Lastly, we performed a multi-factor analysis to further explore the dimensions of negativity and positivity within the data. The results of this analysis are depicted in the multi-factor diagram, which categorizes the factors into two overarching themes: Negativity and Positivity.</w:t>
      </w:r>
    </w:p>
    <w:tbl>
      <w:tblPr>
        <w:tblStyle w:val="Table"/>
        <w:tblW w:type="pct" w:w="5000"/>
        <w:tblLayout w:type="fixed"/>
        <w:tblLook w:firstRow="0" w:lastRow="0" w:firstColumn="0" w:lastColumn="0" w:noHBand="0" w:noVBand="0" w:val="0000"/>
      </w:tblPr>
      <w:tblGrid>
        <w:gridCol w:w="7920"/>
      </w:tblGrid>
      <w:tr>
        <w:tc>
          <w:tcPr/>
          <w:bookmarkStart w:id="121" w:name="fig-multilevel-fa"/>
          <w:p>
            <w:pPr>
              <w:jc w:val="center"/>
            </w:pPr>
            <w:r>
              <w:drawing>
                <wp:inline>
                  <wp:extent cx="4620126" cy="3696101"/>
                  <wp:effectExtent b="0" l="0" r="0" t="0"/>
                  <wp:docPr descr="" title="" id="119" name="Picture"/>
                  <a:graphic>
                    <a:graphicData uri="http://schemas.openxmlformats.org/drawingml/2006/picture">
                      <pic:pic>
                        <pic:nvPicPr>
                          <pic:cNvPr descr="index_files/figure-docx/unnamed-chunk-31-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jc w:val="center"/>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pPr>
            <w:pPr>
              <w:jc w:val="start"/>
              <w:spacing w:before="200"/>
              <w:pStyle w:val="ImageCaption"/>
            </w:pPr>
            <w:r>
              <w:t xml:space="preserve">Figure 11: Hierarchical (multilevel) factors’ structure.</w:t>
            </w:r>
          </w:p>
          <w:bookmarkEnd w:id="121"/>
        </w:tc>
      </w:tr>
    </w:tbl>
    <w:bookmarkEnd w:id="122"/>
    <w:bookmarkEnd w:id="123"/>
    <w:bookmarkStart w:id="134" w:name="references"/>
    <w:p>
      <w:pPr>
        <w:pStyle w:val="Heading2"/>
      </w:pPr>
      <w:r>
        <w:t xml:space="preserve">References</w:t>
      </w:r>
    </w:p>
    <w:bookmarkStart w:id="133" w:name="refs"/>
    <w:bookmarkStart w:id="125" w:name="ref-stoet_psytoolkit_2017"/>
    <w:p>
      <w:pPr>
        <w:pStyle w:val="Bibliography"/>
      </w:pPr>
      <w:r>
        <w:t xml:space="preserve">[1]</w:t>
      </w:r>
      <w:r>
        <w:t xml:space="preserve"> </w:t>
      </w:r>
      <w:r>
        <w:t xml:space="preserve">	</w:t>
      </w:r>
      <w:r>
        <w:t xml:space="preserve">G. Stoet,</w:t>
      </w:r>
      <w:r>
        <w:t xml:space="preserve"> </w:t>
      </w:r>
      <w:r>
        <w:t xml:space="preserve">“PsyToolkit: A novel web-based method for running online questionnaires and reaction-time experiments,”</w:t>
      </w:r>
      <w:r>
        <w:t xml:space="preserve"> </w:t>
      </w:r>
      <w:r>
        <w:rPr>
          <w:i/>
          <w:iCs/>
        </w:rPr>
        <w:t xml:space="preserve">Teaching of Psychology</w:t>
      </w:r>
      <w:r>
        <w:t xml:space="preserve">, vol. 44, no. 1, pp. 24–31, 2017, doi:</w:t>
      </w:r>
      <w:r>
        <w:t xml:space="preserve"> </w:t>
      </w:r>
      <w:hyperlink r:id="rId124">
        <w:r>
          <w:rPr>
            <w:rStyle w:val="Hyperlink"/>
          </w:rPr>
          <w:t xml:space="preserve">10.1177/0098628316677643</w:t>
        </w:r>
      </w:hyperlink>
      <w:r>
        <w:t xml:space="preserve">.</w:t>
      </w:r>
    </w:p>
    <w:bookmarkEnd w:id="125"/>
    <w:bookmarkStart w:id="126" w:name="Xe01acf8efb6260906e64b90b712c8b26bb670d9"/>
    <w:p>
      <w:pPr>
        <w:pStyle w:val="Bibliography"/>
      </w:pPr>
      <w:r>
        <w:t xml:space="preserve">[2]</w:t>
      </w:r>
      <w:r>
        <w:t xml:space="preserve"> </w:t>
      </w:r>
      <w:r>
        <w:t xml:space="preserve">	</w:t>
      </w:r>
      <w:r>
        <w:t xml:space="preserve">J. Copet</w:t>
      </w:r>
      <w:r>
        <w:t xml:space="preserve"> </w:t>
      </w:r>
      <w:r>
        <w:rPr>
          <w:i/>
          <w:iCs/>
        </w:rPr>
        <w:t xml:space="preserve">et al.</w:t>
      </w:r>
      <w:r>
        <w:t xml:space="preserve">,</w:t>
      </w:r>
      <w:r>
        <w:t xml:space="preserve"> </w:t>
      </w:r>
      <w:r>
        <w:t xml:space="preserve">“Simple and controllable music generation,”</w:t>
      </w:r>
      <w:r>
        <w:t xml:space="preserve"> </w:t>
      </w:r>
      <w:r>
        <w:t xml:space="preserve">in</w:t>
      </w:r>
      <w:r>
        <w:t xml:space="preserve"> </w:t>
      </w:r>
      <w:r>
        <w:rPr>
          <w:i/>
          <w:iCs/>
        </w:rPr>
        <w:t xml:space="preserve">Proceedings of the 37th international conference on neural information processing systems</w:t>
      </w:r>
      <w:r>
        <w:t xml:space="preserve">, in NIPS ’23. Red Hook, NY, USA: Curran Associates Inc., 2023.</w:t>
      </w:r>
    </w:p>
    <w:bookmarkEnd w:id="126"/>
    <w:bookmarkStart w:id="128" w:name="ref-glass_1972_consequences_of_failure"/>
    <w:p>
      <w:pPr>
        <w:pStyle w:val="Bibliography"/>
      </w:pPr>
      <w:r>
        <w:t xml:space="preserve">[3]</w:t>
      </w:r>
      <w:r>
        <w:t xml:space="preserve"> </w:t>
      </w:r>
      <w:r>
        <w:t xml:space="preserve">	</w:t>
      </w:r>
      <w:r>
        <w:t xml:space="preserve">G. V. Glass, P. D. Peckham, and J. R. Sanders,</w:t>
      </w:r>
      <w:r>
        <w:t xml:space="preserve"> </w:t>
      </w:r>
      <w:r>
        <w:t xml:space="preserve">“Consequences of failure to meet assumptions underlying the fixed effects analyses of variance and covariance,”</w:t>
      </w:r>
      <w:r>
        <w:t xml:space="preserve"> </w:t>
      </w:r>
      <w:r>
        <w:rPr>
          <w:i/>
          <w:iCs/>
        </w:rPr>
        <w:t xml:space="preserve">Review of Educational Research</w:t>
      </w:r>
      <w:r>
        <w:t xml:space="preserve">, vol. 42, no. 3, pp. 237–288, 1972, doi:</w:t>
      </w:r>
      <w:r>
        <w:t xml:space="preserve"> </w:t>
      </w:r>
      <w:hyperlink r:id="rId127">
        <w:r>
          <w:rPr>
            <w:rStyle w:val="Hyperlink"/>
          </w:rPr>
          <w:t xml:space="preserve">10.3102/00346543042003237</w:t>
        </w:r>
      </w:hyperlink>
      <w:r>
        <w:t xml:space="preserve">.</w:t>
      </w:r>
    </w:p>
    <w:bookmarkEnd w:id="128"/>
    <w:bookmarkStart w:id="130" w:name="ref-harwell_1992_meta-analytic_methods"/>
    <w:p>
      <w:pPr>
        <w:pStyle w:val="Bibliography"/>
      </w:pPr>
      <w:r>
        <w:t xml:space="preserve">[4]</w:t>
      </w:r>
      <w:r>
        <w:t xml:space="preserve"> </w:t>
      </w:r>
      <w:r>
        <w:t xml:space="preserve">	</w:t>
      </w:r>
      <w:r>
        <w:t xml:space="preserve">M. R. Harwell, E. N. Rubinstein, W. S. Hayes, and C. C. Olds,</w:t>
      </w:r>
      <w:r>
        <w:t xml:space="preserve"> </w:t>
      </w:r>
      <w:r>
        <w:t xml:space="preserve">“Summarizing monte carlo results in methodological research: The one- and two-factor fixed effects ANOVA cases,”</w:t>
      </w:r>
      <w:r>
        <w:t xml:space="preserve"> </w:t>
      </w:r>
      <w:r>
        <w:rPr>
          <w:i/>
          <w:iCs/>
        </w:rPr>
        <w:t xml:space="preserve">Journal of Educational Statistics</w:t>
      </w:r>
      <w:r>
        <w:t xml:space="preserve">, vol. 17, no. 4, pp. 315–339, 1992, Accessed: Jan. 21, 2025. [Online]. Available:</w:t>
      </w:r>
      <w:r>
        <w:t xml:space="preserve"> </w:t>
      </w:r>
      <w:hyperlink r:id="rId129">
        <w:r>
          <w:rPr>
            <w:rStyle w:val="Hyperlink"/>
          </w:rPr>
          <w:t xml:space="preserve">http://www.jstor.org/stable/1165127</w:t>
        </w:r>
      </w:hyperlink>
    </w:p>
    <w:bookmarkEnd w:id="130"/>
    <w:bookmarkStart w:id="132" w:name="ref-lix_1996_presence_of_variance"/>
    <w:p>
      <w:pPr>
        <w:pStyle w:val="Bibliography"/>
      </w:pPr>
      <w:r>
        <w:t xml:space="preserve">[5]</w:t>
      </w:r>
      <w:r>
        <w:t xml:space="preserve"> </w:t>
      </w:r>
      <w:r>
        <w:t xml:space="preserve">	</w:t>
      </w:r>
      <w:r>
        <w:t xml:space="preserve">L. M. Lix, J. C. Keselman, and H. J. Keselman,</w:t>
      </w:r>
      <w:r>
        <w:t xml:space="preserve"> </w:t>
      </w:r>
      <w:r>
        <w:t xml:space="preserve">“Consequences of assumption violations revisited: A quantitative review of alternatives to the one-way analysis of variance "f" test,”</w:t>
      </w:r>
      <w:r>
        <w:t xml:space="preserve"> </w:t>
      </w:r>
      <w:r>
        <w:rPr>
          <w:i/>
          <w:iCs/>
        </w:rPr>
        <w:t xml:space="preserve">Review of Educational Research</w:t>
      </w:r>
      <w:r>
        <w:t xml:space="preserve">, vol. 66, no. 4, pp. 579–619, 1996, Accessed: Jan. 21, 2025. [Online]. Available:</w:t>
      </w:r>
      <w:r>
        <w:t xml:space="preserve"> </w:t>
      </w:r>
      <w:hyperlink r:id="rId131">
        <w:r>
          <w:rPr>
            <w:rStyle w:val="Hyperlink"/>
          </w:rPr>
          <w:t xml:space="preserve">http://www.jstor.org/stable/1170654</w:t>
        </w:r>
      </w:hyperlink>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t xml:space="preserve">A full description of the model and its finetuning process is available at the publication related to this analysis.</w:t>
      </w:r>
    </w:p>
  </w:footnote>
  <w:footnote w:id="66">
    <w:p>
      <w:pPr>
        <w:pStyle w:val="FootnoteText"/>
      </w:pPr>
      <w:r>
        <w:rPr>
          <w:rStyle w:val="FootnoteReference"/>
        </w:rPr>
        <w:footnoteRef/>
      </w:r>
      <w:r>
        <w:t xml:space="preserve"> </w:t>
      </w:r>
      <w:r>
        <w:t xml:space="preserve">The Bonferroni correction has not been applied due to the non indepenent nature of the test, in fact the test has been performed after the results of the previous Wilcoxon test, which, instead, was testing independently 4 groups.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69" Target="media/rId69.png" /><Relationship Type="http://schemas.openxmlformats.org/officeDocument/2006/relationships/image" Id="rId86" Target="media/rId86.png" /><Relationship Type="http://schemas.openxmlformats.org/officeDocument/2006/relationships/image" Id="rId96" Target="media/rId96.png" /><Relationship Type="http://schemas.openxmlformats.org/officeDocument/2006/relationships/image" Id="rId59" Target="media/rId59.png" /><Relationship Type="http://schemas.openxmlformats.org/officeDocument/2006/relationships/image" Id="rId91" Target="media/rId91.png" /><Relationship Type="http://schemas.openxmlformats.org/officeDocument/2006/relationships/image" Id="rId76" Target="media/rId76.png" /><Relationship Type="http://schemas.openxmlformats.org/officeDocument/2006/relationships/image" Id="rId21" Target="media/rId21.png" /><Relationship Type="http://schemas.openxmlformats.org/officeDocument/2006/relationships/image" Id="rId80" Target="media/rId80.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26" Target="media/rId26.png" /><Relationship Type="http://schemas.openxmlformats.org/officeDocument/2006/relationships/image" Id="rId118" Target="media/rId118.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129" Target="http://www.jstor.org/stable/1165127" TargetMode="External" /><Relationship Type="http://schemas.openxmlformats.org/officeDocument/2006/relationships/hyperlink" Id="rId131" Target="http://www.jstor.org/stable/1170654" TargetMode="External" /><Relationship Type="http://schemas.openxmlformats.org/officeDocument/2006/relationships/hyperlink" Id="rId124" Target="https://doi.org/10.1177/0098628316677643" TargetMode="External" /><Relationship Type="http://schemas.openxmlformats.org/officeDocument/2006/relationships/hyperlink" Id="rId127" Target="https://doi.org/10.3102/00346543042003237" TargetMode="External" /><Relationship Type="http://schemas.openxmlformats.org/officeDocument/2006/relationships/hyperlink" Id="rId24" Target="https://matteospanio.github.io/multimodal-symphony-survey-analysis/index.qmd.html" TargetMode="External" /><Relationship Type="http://schemas.openxmlformats.org/officeDocument/2006/relationships/hyperlink" Id="rId20" Target="https://www.psytoolkit.org/c/3.4.6/survey?s=YmxcY" TargetMode="External" /></Relationships>
</file>

<file path=word/_rels/footnotes.xml.rels><?xml version="1.0" encoding="UTF-8"?><Relationships xmlns="http://schemas.openxmlformats.org/package/2006/relationships"><Relationship Type="http://schemas.openxmlformats.org/officeDocument/2006/relationships/hyperlink" Id="rId129" Target="http://www.jstor.org/stable/1165127" TargetMode="External" /><Relationship Type="http://schemas.openxmlformats.org/officeDocument/2006/relationships/hyperlink" Id="rId131" Target="http://www.jstor.org/stable/1170654" TargetMode="External" /><Relationship Type="http://schemas.openxmlformats.org/officeDocument/2006/relationships/hyperlink" Id="rId124" Target="https://doi.org/10.1177/0098628316677643" TargetMode="External" /><Relationship Type="http://schemas.openxmlformats.org/officeDocument/2006/relationships/hyperlink" Id="rId127" Target="https://doi.org/10.3102/00346543042003237" TargetMode="External" /><Relationship Type="http://schemas.openxmlformats.org/officeDocument/2006/relationships/hyperlink" Id="rId24" Target="https://matteospanio.github.io/multimodal-symphony-survey-analysis/index.qmd.html" TargetMode="External" /><Relationship Type="http://schemas.openxmlformats.org/officeDocument/2006/relationships/hyperlink" Id="rId20" Target="https://www.psytoolkit.org/c/3.4.6/survey?s=Ymx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Multimodal Symphony: Data analysis</dc:title>
  <dc:creator/>
  <cp:keywords>Generative AI, Crossmodal correspondences, Statistical analysis, Synesthesia</cp:keywords>
  <dcterms:created xsi:type="dcterms:W3CDTF">2025-03-05T08:32:10Z</dcterms:created>
  <dcterms:modified xsi:type="dcterms:W3CDTF">2025-03-05T08:32:10Z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recent decades, neuroscientific and psychological research has traced direct relationships between taste and auditory perceptions. This article explores multimodal generative models capable of converting taste information into music, building on this foundational research. We provide a brief review of the state of the art in this field, highlighting key findings and methodologies. Additionally, we present an experiment in which we fine-tuned a generative music model (MusicGEN) to generate music based on detailed taste descriptions provided for each musical piece. The results are promising: the fine-tuned model produces music that more coherently reflects the input taste descriptions compared to the non-fine-tuned model. This study represents a significant step towards understanding and developing embodied interactions between AI, sound, and taste, opening new possibilities in the field of generative AI.</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ieee.csl</vt:lpwstr>
  </property>
  <property fmtid="{D5CDD505-2E9C-101B-9397-08002B2CF9AE}" pid="12" name="date">
    <vt:lpwstr>2025-02-12</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cense">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