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3 Building Blocks</w:t>
      </w:r>
    </w:p>
    <w:p>
      <w:r>
        <w:t>301 General</w:t>
      </w:r>
    </w:p>
    <w:p>
      <w:r>
        <w:t>301.1 Scope</w:t>
      </w:r>
    </w:p>
    <w:p>
      <w:r>
        <w:t>The provisions of Chapter 3 shall apply where required by Chapter 2 or where referenced by a requirement in this document.</w:t>
      </w:r>
    </w:p>
    <w:p>
      <w:r>
        <w:t>302 Floor or Ground Surfaces</w:t>
      </w:r>
    </w:p>
    <w:p>
      <w:r>
        <w:t>302.1 General</w:t>
      </w:r>
    </w:p>
    <w:p>
      <w:r>
        <w:t>Diagram</w:t>
      </w:r>
    </w:p>
    <w:p>
      <w:r>
        <w:t>Floor and ground surfaces shall be stable, firm, and slip resistant and shall comply with 302.</w:t>
      </w:r>
    </w:p>
    <w:p/>
    <w:p>
      <w:r>
        <w:t>EXCEPTIONS:</w:t>
      </w:r>
    </w:p>
    <w:p>
      <w:r>
        <w:t>Within animal containment areas, floor and ground surfaces shall not be required to be stable, firm, and slip resistant.</w:t>
      </w:r>
    </w:p>
    <w:p>
      <w:r>
        <w:t>Areas of sport activity shall not be required to comply with 302.</w:t>
      </w:r>
    </w:p>
    <w:p>
      <w:r>
        <w:t>Advisory 302.1 General.  A stable surface is one that remains unchanged by contaminants or applied force, so that when the contaminant or force is removed, the surface returns to its original condition.  A firm surface resists deformation by either indentations or particles moving on its surface.  A slip-resistant surface provides sufficient frictional counterforce to the forces exerted in walking to permit safe ambulation.</w:t>
      </w:r>
    </w:p>
    <w:p>
      <w:r>
        <w:t>Upcodes Diagrams</w:t>
      </w:r>
    </w:p>
    <w:p>
      <w:r>
        <w:t>302.2 Carpet</w:t>
      </w:r>
    </w:p>
    <w:p>
      <w:r>
        <w:t>Carpet or carpet tile shall be securely attached and shall have a firm cushion, pad, or backing or no cushion or pad.  Carpet or carpet tile shall have a level loop, textured loop, level cut pile, or level cut/uncut pile texture.  Pile height shall be 1/2 inch (13 mm) maximum.  Exposed edges of carpet shall be fastened to floor surfaces and shall have trim on the entire length of the exposed edge.  Carpet edge trim shall comply with 303.</w:t>
      </w:r>
    </w:p>
    <w:p>
      <w:r>
        <w:t>Advisory 302.2 Carpet.  Carpets and permanently affixed mats can significantly increase the amount of force (roll resistance) needed to propel a wheelchair over a surface. The firmer the carpeting and backing, the lower the roll resistance.  A pile thickness up to 1/2 inch (13 mm) (measured to the backing, cushion, or pad) is allowed, although a lower pile provides easier wheelchair maneuvering.  If a backing, cushion or pad is used, it must be firm.  Preferably, carpet pad should not be used because the soft padding increases roll resistance.</w:t>
      </w:r>
    </w:p>
    <w:p>
      <w:r>
        <w:t>Figure 302.2 Carpet Pile Height</w:t>
      </w:r>
    </w:p>
    <w:p>
      <w:r>
        <w:t>302.3 Openings</w:t>
      </w:r>
    </w:p>
    <w:p>
      <w:r>
        <w:t>Openings in floor or ground surfaces shall not allow passage of a sphere more than 1/2 inch (13 mm) diameter except as allowed in 407.4.3, 409.4.3, 410.4, 810.5.3 and 810.10.  Elongated openings shall be placed so that the long dimension is perpendicular to the dominant direction of travel.</w:t>
      </w:r>
    </w:p>
    <w:p>
      <w:r>
        <w:t>Figure 302.3 Elongated Openings in Floor or Ground Surfaces</w:t>
      </w:r>
    </w:p>
    <w:p>
      <w:r>
        <w:t>303 Changes in Level</w:t>
      </w:r>
    </w:p>
    <w:p>
      <w:r>
        <w:t>Upcodes Diagrams</w:t>
      </w:r>
    </w:p>
    <w:p>
      <w:r>
        <w:t>303.1 General</w:t>
      </w:r>
    </w:p>
    <w:p>
      <w:r>
        <w:t>Where changes in level are permitted in floor or ground surfaces, they shall comply with 303.</w:t>
      </w:r>
    </w:p>
    <w:p/>
    <w:p>
      <w:r>
        <w:t>EXCEPTIONS:</w:t>
      </w:r>
    </w:p>
    <w:p>
      <w:r>
        <w:t>Animal containment areas shall not be required to comply with 303.</w:t>
      </w:r>
    </w:p>
    <w:p>
      <w:r>
        <w:t>Areas of sport activity shall not be required to comply with 303.</w:t>
      </w:r>
    </w:p>
    <w:p>
      <w:r>
        <w:t>303.2 Vertical</w:t>
      </w:r>
    </w:p>
    <w:p>
      <w:r>
        <w:t>Changes in level of 1/4 inch (6.4 mm) high maximum shall be permitted to be vertical.</w:t>
      </w:r>
    </w:p>
    <w:p>
      <w:r>
        <w:t>Figure 303.2 Vertical Change in Level</w:t>
      </w:r>
    </w:p>
    <w:p>
      <w:r>
        <w:t>303.3 Beveled</w:t>
      </w:r>
    </w:p>
    <w:p>
      <w:r>
        <w:t>Changes in level between 1/4 inch (6.4 mm) high minimum and 1/2 inch (13 mm) high maximum shall be beveled with a slope not steeper than 1:2.</w:t>
      </w:r>
    </w:p>
    <w:p>
      <w:r>
        <w:t>Advisory 303.3 Beveled.  A change in level of 1/2 inch (13 mm) is permitted to be 1/4 inch (6.4 mm) vertical plus 1/4 inch (6.4 mm) beveled.  However, in no case may the combined change in level exceed 1/2 inch (13 mm).  Changes in level exceeding 1/2 inch (13 mm) must comply with 405 (Ramps) or 406 (Curb Ramps).</w:t>
      </w:r>
    </w:p>
    <w:p>
      <w:r>
        <w:t>Figure 303.3 Beveled Change in Level</w:t>
      </w:r>
    </w:p>
    <w:p>
      <w:r>
        <w:t>303.4 Ramps</w:t>
      </w:r>
    </w:p>
    <w:p>
      <w:r>
        <w:t>Changes in level greater than 1/2 inch (13 mm) high shall be ramped, and shall comply with 405 or 406.</w:t>
      </w:r>
    </w:p>
    <w:p>
      <w:r>
        <w:t>304 Turning Space</w:t>
      </w:r>
    </w:p>
    <w:p>
      <w:r>
        <w:t>Diagram</w:t>
      </w:r>
    </w:p>
    <w:p>
      <w:r>
        <w:t>UpCodes Diagrams</w:t>
      </w:r>
    </w:p>
    <w:p>
      <w:r>
        <w:t>P</w:t>
      </w:r>
    </w:p>
    <w:p>
      <w:r>
        <w:t>Turning Space: 60” Round</w:t>
      </w:r>
    </w:p>
    <w:p>
      <w:r>
        <w:t>304.1 General</w:t>
      </w:r>
    </w:p>
    <w:p>
      <w:r>
        <w:t>Turning space shall comply with 304.</w:t>
      </w:r>
    </w:p>
    <w:p>
      <w:r>
        <w:t>304.2 Floor or Ground Surfaces</w:t>
      </w:r>
    </w:p>
    <w:p>
      <w:r>
        <w:t>Floor or ground surfaces of a turning space shall comply with 302. Changes in level are not permitted.</w:t>
      </w:r>
    </w:p>
    <w:p/>
    <w:p>
      <w:r>
        <w:t>EXCEPTION: Slopes not steeper than 1:48 shall be permitted.</w:t>
      </w:r>
    </w:p>
    <w:p>
      <w:r>
        <w:t>Advisory 304.2 Floor or Ground Surface Exception.  As used in this section, the phrase "changes in level" refers to surfaces with slopes and to surfaces with abrupt rise exceeding that permitted in Section 303.3.  Such changes in level are prohibited in required clear floor and ground spaces, turning spaces, and in similar spaces where people using wheelchairs and other mobility devices must park their mobility aids such as in wheelchair spaces, or maneuver to use elements such as at doors, fixtures, and telephones.  The exception permits slopes not steeper than 1:48.</w:t>
      </w:r>
    </w:p>
    <w:p>
      <w:r>
        <w:t>304.3 Size</w:t>
      </w:r>
    </w:p>
    <w:p>
      <w:r>
        <w:t>Turning space shall comply with 304.3.1 or 304.3.2.</w:t>
      </w:r>
    </w:p>
    <w:p>
      <w:r>
        <w:t>304.3.1 Circular Space</w:t>
      </w:r>
    </w:p>
    <w:p>
      <w:r>
        <w:t>The turning space shall be a space of 60 inches (1525 mm) diameter minimum.  The space shall be permitted to include knee and toe clearance complying with 306.</w:t>
      </w:r>
    </w:p>
    <w:p>
      <w:r>
        <w:t>Upcodes Diagrams</w:t>
      </w:r>
    </w:p>
    <w:p>
      <w:r>
        <w:t>304.3.2 T-Shaped Space</w:t>
      </w:r>
    </w:p>
    <w:p>
      <w:r>
        <w:t>Diagram</w:t>
      </w:r>
    </w:p>
    <w:p>
      <w:r>
        <w:t>The turning space shall be a T-shaped space within a 60 inch (1525 mm) square minimum with arms and base 36 inches (915 mm) wide minimum.  Each arm of the T shall be clear of obstructions 12 inches (305 mm) minimum in each direction and the base shall be clear of obstructions 24 inches (610 mm) minimum.  The space shall be permitted to include knee and toe clearance complying with 306 only at the end of either the base or one arm.</w:t>
      </w:r>
    </w:p>
    <w:p>
      <w:r>
        <w:t>Figure 304.3.2 T-Shaped Turning Space</w:t>
      </w:r>
    </w:p>
    <w:p>
      <w:r>
        <w:t>Upcodes Diagrams</w:t>
      </w:r>
    </w:p>
    <w:p>
      <w:r>
        <w:t>304.4 Door Swing</w:t>
      </w:r>
    </w:p>
    <w:p>
      <w:r>
        <w:t>Doors shall be permitted to swing into turning spaces.</w:t>
      </w:r>
    </w:p>
    <w:p>
      <w:r>
        <w:t>305 Clear Floor or Ground Space</w:t>
      </w:r>
    </w:p>
    <w:p>
      <w:r>
        <w:t>305.1 General</w:t>
      </w:r>
    </w:p>
    <w:p>
      <w:r>
        <w:t>Clear floor or ground space shall comply with 305.</w:t>
      </w:r>
    </w:p>
    <w:p>
      <w:r>
        <w:t>305.2 Floor or Ground Surfaces</w:t>
      </w:r>
    </w:p>
    <w:p>
      <w:r>
        <w:t>Floor or ground surfaces of a clear floor or ground space shall comply with 302. Changes in level are not permitted.</w:t>
      </w:r>
    </w:p>
    <w:p/>
    <w:p>
      <w:r>
        <w:t>EXCEPTION: Slopes not steeper than 1:48 shall be permitted.</w:t>
      </w:r>
    </w:p>
    <w:p>
      <w:r>
        <w:t>Upcodes Diagrams</w:t>
      </w:r>
    </w:p>
    <w:p>
      <w:r>
        <w:t>305.3 Size</w:t>
      </w:r>
    </w:p>
    <w:p>
      <w:r>
        <w:t>Diagram</w:t>
      </w:r>
    </w:p>
    <w:p>
      <w:r>
        <w:t>The clear floor or ground space shall be 30 inches (760 mm) minimum by 48 inches (1220 mm) minimum.</w:t>
      </w:r>
    </w:p>
    <w:p>
      <w:r>
        <w:t>Figure 305.3 Clear Floor or Ground Space</w:t>
      </w:r>
    </w:p>
    <w:p>
      <w:r>
        <w:t>UpCodes Diagrams</w:t>
      </w:r>
    </w:p>
    <w:p>
      <w:r>
        <w:t>P</w:t>
      </w:r>
    </w:p>
    <w:p>
      <w:r>
        <w:t>Baby Changing Tables (ADA)</w:t>
      </w:r>
    </w:p>
    <w:p>
      <w:r>
        <w:t>Accessibility at Washers &amp; Clothes Dryers</w:t>
      </w:r>
    </w:p>
    <w:p>
      <w:r>
        <w:t>305.4 Knee and Toe Clearance</w:t>
      </w:r>
    </w:p>
    <w:p>
      <w:r>
        <w:t>Unless otherwise specified, clear floor or ground space shall be permitted to include knee and toe clearance complying with 306.</w:t>
      </w:r>
    </w:p>
    <w:p>
      <w:r>
        <w:t>305.5 Position</w:t>
      </w:r>
    </w:p>
    <w:p>
      <w:r>
        <w:t>Unless otherwise specified, clear floor or ground space shall be positioned for either forward or parallel approach to an element.</w:t>
      </w:r>
    </w:p>
    <w:p>
      <w:r>
        <w:t>Figure 305.5 Position of Clear Floor or Ground Space</w:t>
      </w:r>
    </w:p>
    <w:p>
      <w:r>
        <w:t>305.6 Approach</w:t>
      </w:r>
    </w:p>
    <w:p>
      <w:r>
        <w:t>One full unobstructed side of the clear floor or ground space shall adjoin an accessible route or adjoin another clear floor or ground space.</w:t>
      </w:r>
    </w:p>
    <w:p>
      <w:r>
        <w:t>305.7 Maneuvering Clearance</w:t>
      </w:r>
    </w:p>
    <w:p>
      <w:r>
        <w:t>Where a clear floor or ground space is located in an alcove or otherwise confined on all or part of three sides, additional maneuvering clearance shall be provided in accordance with 305.7.1 and 305.7.2.</w:t>
      </w:r>
    </w:p>
    <w:p>
      <w:r>
        <w:t>305.7.1 Forward Approach</w:t>
      </w:r>
    </w:p>
    <w:p>
      <w:r>
        <w:t>Diagram</w:t>
      </w:r>
    </w:p>
    <w:p>
      <w:r>
        <w:t>Alcoves shall be 36 inches (915 mm)wide minimum where the depth exceeds 24 inches (610 mm).</w:t>
      </w:r>
    </w:p>
    <w:p>
      <w:r>
        <w:t>Figure 305.7.1 Maneuvering Clearance in an Alcove, Forward Approach</w:t>
      </w:r>
    </w:p>
    <w:p>
      <w:r>
        <w:t>UpCodes Diagrams</w:t>
      </w:r>
    </w:p>
    <w:p>
      <w:r>
        <w:t>P</w:t>
      </w:r>
    </w:p>
    <w:p>
      <w:r>
        <w:t>Lavatory Clearances</w:t>
      </w:r>
    </w:p>
    <w:p>
      <w:r>
        <w:t>Drinking Fountain Clearances</w:t>
      </w:r>
    </w:p>
    <w:p>
      <w:r>
        <w:t>305.7.2 Parallel Approach</w:t>
      </w:r>
    </w:p>
    <w:p>
      <w:r>
        <w:t>Alcoves shall be 60 inches (1525 mm) wide minimum where the depth exceeds 15 inches (380 mm).</w:t>
      </w:r>
    </w:p>
    <w:p>
      <w:r>
        <w:t>Figure 305.7.2 Maneuvering Clearance in an Alcove, Parallel Approach</w:t>
      </w:r>
    </w:p>
    <w:p>
      <w:r>
        <w:t>306 Knee and Toe Clearance</w:t>
      </w:r>
    </w:p>
    <w:p>
      <w:r>
        <w:t>306.1 General</w:t>
      </w:r>
    </w:p>
    <w:p>
      <w:r>
        <w:t>Where space beneath an element is included as part of clear floor or ground space or turning space, the space shall comply with 306.  Additional space shall not be prohibited beneath an element but shall not be considered as part of the clear floor or ground space or turning space.</w:t>
      </w:r>
    </w:p>
    <w:p>
      <w:r>
        <w:t>Advisory 306.1 General.  Clearances are measured in relation to the usable clear floor space, not necessarily to the vertical support for an element.  When determining clearance under an object for required turning or maneuvering space, care should be taken to ensure the space is clear of any obstructions.</w:t>
      </w:r>
    </w:p>
    <w:p>
      <w:r>
        <w:t>306.2 Toe Clearance</w:t>
      </w:r>
    </w:p>
    <w:p>
      <w:r>
        <w:t>Diagram</w:t>
      </w:r>
    </w:p>
    <w:p>
      <w:r>
        <w:t>UpCodes Diagrams</w:t>
      </w:r>
    </w:p>
    <w:p>
      <w:r>
        <w:t>P</w:t>
      </w:r>
    </w:p>
    <w:p>
      <w:r>
        <w:t>Multiple Drinking Fountains</w:t>
      </w:r>
    </w:p>
    <w:p>
      <w:r>
        <w:t>Drinking Fountain Clearances</w:t>
      </w:r>
    </w:p>
    <w:p>
      <w:r>
        <w:t>306.2.1 General</w:t>
      </w:r>
    </w:p>
    <w:p>
      <w:r>
        <w:t>Space under an element between the finish floor or ground and 9 inches (230 mm) above the finish floor or ground shall be considered toe clearance and shall comply with 306.2.</w:t>
      </w:r>
    </w:p>
    <w:p>
      <w:r>
        <w:t>306.2.2 Maximum Depth</w:t>
      </w:r>
    </w:p>
    <w:p>
      <w:r>
        <w:t>Diagram</w:t>
      </w:r>
    </w:p>
    <w:p>
      <w:r>
        <w:t>Toe clearance shall extend 25 inches (635 mm) maximum under an element.</w:t>
      </w:r>
    </w:p>
    <w:p>
      <w:r>
        <w:t>Upcodes Diagrams</w:t>
      </w:r>
    </w:p>
    <w:p>
      <w:r>
        <w:t>306.2.3 Minimum Required Depth</w:t>
      </w:r>
    </w:p>
    <w:p>
      <w:r>
        <w:t>Where toe clearance is required at an element as part of a clear floor space, the toe clearance shall extend 17 inches (430 mm) minimum under the element.</w:t>
      </w:r>
    </w:p>
    <w:p>
      <w:r>
        <w:t>306.2.4 Additional Clearance</w:t>
      </w:r>
    </w:p>
    <w:p>
      <w:r>
        <w:t>Space extending greater than 6 inches (150 mm) beyond the available knee clearance at 9 inches (230 mm) above the finish floor or ground shall not be considered toe clearance.</w:t>
      </w:r>
    </w:p>
    <w:p>
      <w:r>
        <w:t>306.2.5 Width</w:t>
      </w:r>
    </w:p>
    <w:p>
      <w:r>
        <w:t>Toe clearance shall be 30 inches (760 mm) wide minimum.</w:t>
      </w:r>
    </w:p>
    <w:p>
      <w:r>
        <w:t>Figure 306.2 Toe Clearance</w:t>
      </w:r>
    </w:p>
    <w:p>
      <w:r>
        <w:t>306.3 Knee Clearance</w:t>
      </w:r>
    </w:p>
    <w:p>
      <w:r>
        <w:t>Diagram</w:t>
      </w:r>
    </w:p>
    <w:p>
      <w:r>
        <w:t>UpCodes Diagrams</w:t>
      </w:r>
    </w:p>
    <w:p>
      <w:r>
        <w:t>P</w:t>
      </w:r>
    </w:p>
    <w:p>
      <w:r>
        <w:t>Multiple Drinking Fountains</w:t>
      </w:r>
    </w:p>
    <w:p>
      <w:r>
        <w:t>Drinking Fountain Clearances</w:t>
      </w:r>
    </w:p>
    <w:p>
      <w:r>
        <w:t>306.3.1 General</w:t>
      </w:r>
    </w:p>
    <w:p>
      <w:r>
        <w:t>Space under an element between 9 inches (230 mm) and 27 inches (685 mm) above the finish floor or ground shall be considered knee clearance and shall comply with 306.3.</w:t>
      </w:r>
    </w:p>
    <w:p>
      <w:r>
        <w:t>306.3.2 Maximum Depth</w:t>
      </w:r>
    </w:p>
    <w:p>
      <w:r>
        <w:t>Knee clearance shall extend 25 inches (635 mm) maximum under an element at 9 inches (230 mm) above the finish floor or ground.</w:t>
      </w:r>
    </w:p>
    <w:p>
      <w:r>
        <w:t>306.3.3 Minimum Required Depth</w:t>
      </w:r>
    </w:p>
    <w:p>
      <w:r>
        <w:t>Where knee clearance is required under an element as part of a clear floor space, the knee clearance shall be 11 inches (280 mm) deep minimum at 9 inches (230 mm) above the finish floor or ground, and 8 inches (205 mm) deep minimum at 27 inches (685 mm) above the finish floor or ground.</w:t>
      </w:r>
    </w:p>
    <w:p>
      <w:r>
        <w:t>306.3.4 Clearance Reduction</w:t>
      </w:r>
    </w:p>
    <w:p>
      <w:r>
        <w:t>Between 9 inches (230 mm) and 27 inches (685 mm) above the finish floor or ground, the knee clearance shall be permitted to reduce at a rate of 1 inch (25 mm) in depth for each 6 inches (150 mm) in height.</w:t>
      </w:r>
    </w:p>
    <w:p>
      <w:r>
        <w:t>306.3.5 Width</w:t>
      </w:r>
    </w:p>
    <w:p>
      <w:r>
        <w:t>Knee clearance shall be 30 inches (760 mm) wide minimum.</w:t>
      </w:r>
    </w:p>
    <w:p>
      <w:r>
        <w:t>Figure 306.3 Knee Clearance</w:t>
      </w:r>
    </w:p>
    <w:p>
      <w:r>
        <w:t>307 Protruding Objects</w:t>
      </w:r>
    </w:p>
    <w:p>
      <w:r>
        <w:t>Diagram</w:t>
      </w:r>
    </w:p>
    <w:p>
      <w:r>
        <w:t>UpCodes Diagrams</w:t>
      </w:r>
    </w:p>
    <w:p>
      <w:r>
        <w:t>P</w:t>
      </w:r>
    </w:p>
    <w:p>
      <w:r>
        <w:t>Means of Egress Continuity: Obstructions</w:t>
      </w:r>
    </w:p>
    <w:p>
      <w:r>
        <w:t>Protruding Object Limits</w:t>
      </w:r>
    </w:p>
    <w:p>
      <w:r>
        <w:t>Min. Means of Egress Ceiling Heights</w:t>
      </w:r>
    </w:p>
    <w:p>
      <w:r>
        <w:t>307.1 General</w:t>
      </w:r>
    </w:p>
    <w:p>
      <w:r>
        <w:t>Protruding objects shall comply with 307.</w:t>
      </w:r>
    </w:p>
    <w:p>
      <w:r>
        <w:t>307.2 Protrusion Limits</w:t>
      </w:r>
    </w:p>
    <w:p>
      <w:r>
        <w:t>Objects with leading edges more than 27 inches (685 mm) and not more than 80 inches (2030 mm) above the finish floor or ground shall protrude 4 inches (100 mm) maximum horizontally into the circulation path.</w:t>
      </w:r>
    </w:p>
    <w:p/>
    <w:p>
      <w:r>
        <w:t>EXCEPTION: Handrails shall be permitted to protrude 4 1/2 inches (115 mm) maximum.</w:t>
      </w:r>
    </w:p>
    <w:p>
      <w:r>
        <w:t>Advisory 307.2 Protrusion Limits.  When a cane is used and the element is in the detectable range, it gives a person sufficient time to detect the element with the cane before there is body contact.  Elements located on circulation paths, including operable elements, must comply with requirements for protruding objects.  For example, awnings and their supporting structures cannot reduce the minimum required vertical clearance.  Similarly, casement windows, when open, cannot encroach more than 4 inches (100 mm) into circulation paths above 27 inches (685 mm).</w:t>
      </w:r>
    </w:p>
    <w:p>
      <w:r>
        <w:t>Figure 307.2 Limits of Protruding Objects</w:t>
      </w:r>
    </w:p>
    <w:p>
      <w:r>
        <w:t>Upcodes Diagrams</w:t>
      </w:r>
    </w:p>
    <w:p>
      <w:r>
        <w:t>307.3 Post-Mounted Objects</w:t>
      </w:r>
    </w:p>
    <w:p>
      <w:r>
        <w:t>Diagram</w:t>
      </w:r>
    </w:p>
    <w:p>
      <w:r>
        <w:t>Free-standing objects mounted on posts or pylons shall overhang circulation paths 12 inches (305 mm) maximum when located 27 inches (685 mm) minimum and 80 inches (2030 mm) maximum above the finish floor or ground.  Where a sign or other obstruction is mounted between posts or pylons and the clear distance between the posts or pylons is greater than 12 inches (305 mm), the lowest edge of such sign or obstruction shall be 27 inches (685 mm) maximum or 80 inches (2030 mm) minimum above the finish floor or ground.</w:t>
      </w:r>
    </w:p>
    <w:p/>
    <w:p>
      <w:r>
        <w:t>EXCEPTION: The sloping portions of handrails serving stairs and ramps shall not be required to comply with 307.3.</w:t>
      </w:r>
    </w:p>
    <w:p>
      <w:r>
        <w:t>Figure 307.3 Post-Mounted Protruding Objects</w:t>
      </w:r>
    </w:p>
    <w:p>
      <w:r>
        <w:t>Upcodes Diagrams</w:t>
      </w:r>
    </w:p>
    <w:p>
      <w:r>
        <w:t>307.4 Vertical Clearance</w:t>
      </w:r>
    </w:p>
    <w:p>
      <w:r>
        <w:t>Vertical clearance shall be 80 inches (2030 mm) high minimum.  Guardrails or other barriers shall be provided where the vertical clearance is less than 80 inches (2030 mm) high.  The leading edge of such guardrail or barrier shall be located 27 inches (685 mm) maximum above the finish floor or ground.</w:t>
      </w:r>
    </w:p>
    <w:p/>
    <w:p>
      <w:r>
        <w:t>EXCEPTION: Door closers and door stops shall be permitted to be 78 inches (1980 mm) minimum above the finish floor or ground.</w:t>
      </w:r>
    </w:p>
    <w:p>
      <w:r>
        <w:t>Figure 307.4 Vertical Clearance</w:t>
      </w:r>
    </w:p>
    <w:p>
      <w:r>
        <w:t>307.5 Required Clear Width</w:t>
      </w:r>
    </w:p>
    <w:p>
      <w:r>
        <w:t>Protruding objects shall not reduce the clear width required for accessible routes.</w:t>
      </w:r>
    </w:p>
    <w:p>
      <w:r>
        <w:t>308 Reach Ranges</w:t>
      </w:r>
    </w:p>
    <w:p>
      <w:r>
        <w:t>Diagram</w:t>
      </w:r>
    </w:p>
    <w:p>
      <w:r>
        <w:t>UpCodes Diagrams</w:t>
      </w:r>
    </w:p>
    <w:p>
      <w:r>
        <w:t>P</w:t>
      </w:r>
    </w:p>
    <w:p>
      <w:r>
        <w:t>Accessible Switch, Outlet &amp; Control Locations (FHA)</w:t>
      </w:r>
    </w:p>
    <w:p>
      <w:r>
        <w:t>Accessibility at Washers &amp; Clothes Dryers</w:t>
      </w:r>
    </w:p>
    <w:p>
      <w:r>
        <w:t>Automated Doors: Low Energy</w:t>
      </w:r>
    </w:p>
    <w:p>
      <w:r>
        <w:t>308.1 General</w:t>
      </w:r>
    </w:p>
    <w:p>
      <w:r>
        <w:t>Diagram</w:t>
      </w:r>
    </w:p>
    <w:p>
      <w:r>
        <w:t>Reach ranges shall comply with 308.</w:t>
      </w:r>
    </w:p>
    <w:p>
      <w:r>
        <w:t>Advisory 308.1 General. The following table provides guidance on reach ranges for children according to age where building elements such as coat hooks, lockers, or operable parts are designed for use primarily by children. These dimensions apply to either forward or side reaches. Accessible elements and operable parts designed for adult use or children over age 12 can be located outside these ranges but must be within the adult reach ranges required by 308.</w:t>
      </w:r>
    </w:p>
    <w:p>
      <w:r>
        <w:t>Children's Reach Ranges</w:t>
      </w:r>
    </w:p>
    <w:p>
      <w:r>
        <w:t>Forward or Side Reach Ages 3 and 4 Ages 5 through 8 Ages 9 through 12</w:t>
      </w:r>
    </w:p>
    <w:p>
      <w:r>
        <w:t>High (maximum) 36 in (915 mm) 40 in (1015 mm) 44 in (1120 mm)</w:t>
      </w:r>
    </w:p>
    <w:p>
      <w:r>
        <w:t>Low (minimum) 20 in (510 mm) 18 in (455 mm) 16 in (405 mm)</w:t>
      </w:r>
    </w:p>
    <w:p>
      <w:r>
        <w:t>Upcodes Diagrams</w:t>
      </w:r>
    </w:p>
    <w:p>
      <w:r>
        <w:t>308.2 Forward Reach</w:t>
      </w:r>
    </w:p>
    <w:p>
      <w:r>
        <w:t>308.2.1 Unobstructed</w:t>
      </w:r>
    </w:p>
    <w:p>
      <w:r>
        <w:t>Diagram</w:t>
      </w:r>
    </w:p>
    <w:p>
      <w:r>
        <w:t>Where a forward reach is unobstructed, the high forward reach shall be 48 inches (1220 mm) maximum and the low forward reach shall be 15 inches (380 mm) minimum above the finish floor or ground.</w:t>
      </w:r>
    </w:p>
    <w:p>
      <w:r>
        <w:t>Figure 308.2.1 Unobstructed Forward Reach</w:t>
      </w:r>
    </w:p>
    <w:p>
      <w:r>
        <w:t>UpCodes Diagrams</w:t>
      </w:r>
    </w:p>
    <w:p>
      <w:r>
        <w:t>P</w:t>
      </w:r>
    </w:p>
    <w:p>
      <w:r>
        <w:t>Outlet Mounting Height</w:t>
      </w:r>
    </w:p>
    <w:p>
      <w:r>
        <w:t>308.2.2 Obstructed High Reach</w:t>
      </w:r>
    </w:p>
    <w:p>
      <w:r>
        <w:t>Diagram</w:t>
      </w:r>
    </w:p>
    <w:p>
      <w:r>
        <w:t>Where a high forward reach is over an obstruction, the clear floor space shall extend beneath the element for a distance not less than the required reach depth over the obstruction.  The high forward reach shall be 48 inches (1220 mm) maximum where the reach depth is 20 inches (510 mm) maximum.  Where the reach depth exceeds 20 inches (510 mm), the high forward reach shall be 44 inches (1120 mm) maximum and the reach depth shall be 25 inches (635 mm) maximum.</w:t>
      </w:r>
    </w:p>
    <w:p>
      <w:r>
        <w:t>Figure 308.2.2 Obstructed High Forward Reach</w:t>
      </w:r>
    </w:p>
    <w:p>
      <w:r>
        <w:t>Upcodes Diagrams</w:t>
      </w:r>
    </w:p>
    <w:p>
      <w:r>
        <w:t>308.3 Side Reach</w:t>
      </w:r>
    </w:p>
    <w:p>
      <w:r>
        <w:t>Upcodes Diagrams</w:t>
      </w:r>
    </w:p>
    <w:p>
      <w:r>
        <w:t>308.3.1 Unobstructed</w:t>
      </w:r>
    </w:p>
    <w:p>
      <w:r>
        <w:t>Where a clear floor or ground space allows a parallel approach to an element and the side reach is unobstructed, the high side reach shall be 48 inches (1220 mm) maximum and the low side reach shall be 15 inches (380 mm) minimum above the finish floor or ground.</w:t>
      </w:r>
    </w:p>
    <w:p/>
    <w:p>
      <w:r>
        <w:t>EXCEPTIONS:</w:t>
      </w:r>
    </w:p>
    <w:p>
      <w:r>
        <w:t>An obstruction shall be permitted between the clear floor or ground space and the element where the depth of the obstruction is 10 inches (255 mm) maximum.</w:t>
      </w:r>
    </w:p>
    <w:p>
      <w:r>
        <w:t>Operable parts of fuel dispensers shall be permitted to be 54 inches (1370 mm) maximum measured from the surface of the vehicular way where fuel dispensers are installed on existing curbs.</w:t>
      </w:r>
    </w:p>
    <w:p>
      <w:r>
        <w:t>Figure 308.3.1 Unobstructed Side Reach</w:t>
      </w:r>
    </w:p>
    <w:p>
      <w:r>
        <w:t>308.3.2 Obstructed High Reach</w:t>
      </w:r>
    </w:p>
    <w:p>
      <w:r>
        <w:t>Diagram</w:t>
      </w:r>
    </w:p>
    <w:p>
      <w:r>
        <w:t>Where a clear floor or ground space allows a parallel approach to an element and the high side reach is over an obstruction, the height of the obstruction shall be 34 inches (865 mm) maximum and the depth of the obstruction shall be 24 inches (610 mm) maximum.  The high side reach shall be 48 inches (1220 mm) maximum for a reach depth of 10 inches (255 mm) maximum.  Where the reach depth exceeds 10 inches (255 mm), the high side reach shall be 46 inches (1170 mm) maximum for a reach depth of 24 inches (610 mm) maximum.</w:t>
      </w:r>
    </w:p>
    <w:p/>
    <w:p>
      <w:r>
        <w:t>EXCEPTIONS:</w:t>
      </w:r>
    </w:p>
    <w:p>
      <w:r>
        <w:t>The top of washing machines and clothes dryers shall be permitted to be 36 inches (915 mm) maximum above the finish floor.</w:t>
      </w:r>
    </w:p>
    <w:p>
      <w:r>
        <w:t>Operable parts of fuel dispensers shall be permitted to be 54 inches (1370 mm) maximum measured from the surface of the vehicular way where fuel dispensers are installed on existing curbs.</w:t>
      </w:r>
    </w:p>
    <w:p>
      <w:r>
        <w:t>Figure 308.3.2 Obstructed High Side Reach</w:t>
      </w:r>
    </w:p>
    <w:p>
      <w:r>
        <w:t>UpCodes Diagrams</w:t>
      </w:r>
    </w:p>
    <w:p>
      <w:r>
        <w:t>P</w:t>
      </w:r>
    </w:p>
    <w:p>
      <w:r>
        <w:t>Outlet Locations Over an Obstruction (FHA)</w:t>
      </w:r>
    </w:p>
    <w:p>
      <w:r>
        <w:t>Food Service: Self-Service Shelves</w:t>
      </w:r>
    </w:p>
    <w:p>
      <w:r>
        <w:t>309 Operable Parts</w:t>
      </w:r>
    </w:p>
    <w:p>
      <w:r>
        <w:t>Upcodes Diagrams</w:t>
      </w:r>
    </w:p>
    <w:p>
      <w:r>
        <w:t>309.1 General</w:t>
      </w:r>
    </w:p>
    <w:p>
      <w:r>
        <w:t>Operable parts shall comply with 309.</w:t>
      </w:r>
    </w:p>
    <w:p>
      <w:r>
        <w:t>309.2 Clear Floor Space</w:t>
      </w:r>
    </w:p>
    <w:p>
      <w:r>
        <w:t>A clear floor or ground space complying with 305 shall be provided.</w:t>
      </w:r>
    </w:p>
    <w:p>
      <w:r>
        <w:t>309.3 Height</w:t>
      </w:r>
    </w:p>
    <w:p>
      <w:r>
        <w:t>Operable parts shall be placed within one or more of the reach ranges specified in 308.</w:t>
      </w:r>
    </w:p>
    <w:p>
      <w:r>
        <w:t>309.4 Operation</w:t>
      </w:r>
    </w:p>
    <w:p>
      <w:r>
        <w:t>Diagram</w:t>
      </w:r>
    </w:p>
    <w:p>
      <w:r>
        <w:t>Operable parts shall be operable with one hand and shall not require tight grasping, pinching, or twisting of the wrist.  The force required to activate operable parts shall be 5 pounds (22.2 N) maximum.</w:t>
      </w:r>
    </w:p>
    <w:p/>
    <w:p>
      <w:r>
        <w:t>EXCEPTION: Gas pump nozzles shall not be required to provide operable parts that have an activating force of 5 pounds (22.2 N) maximum.</w:t>
      </w:r>
    </w:p>
    <w:p>
      <w:r>
        <w:t>Upcodes Diagrams</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tmp.png"/>
                    <pic:cNvPicPr/>
                  </pic:nvPicPr>
                  <pic:blipFill>
                    <a:blip r:embed="rId18"/>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3" name="Picture 13"/>
            <wp:cNvGraphicFramePr>
              <a:graphicFrameLocks noChangeAspect="1"/>
            </wp:cNvGraphicFramePr>
            <a:graphic>
              <a:graphicData uri="http://schemas.openxmlformats.org/drawingml/2006/picture">
                <pic:pic>
                  <pic:nvPicPr>
                    <pic:cNvPr id="0" name="tmp.png"/>
                    <pic:cNvPicPr/>
                  </pic:nvPicPr>
                  <pic:blipFill>
                    <a:blip r:embed="rId1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4" name="Picture 14"/>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5" name="Picture 15"/>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6" name="Picture 16"/>
            <wp:cNvGraphicFramePr>
              <a:graphicFrameLocks noChangeAspect="1"/>
            </wp:cNvGraphicFramePr>
            <a:graphic>
              <a:graphicData uri="http://schemas.openxmlformats.org/drawingml/2006/picture">
                <pic:pic>
                  <pic:nvPicPr>
                    <pic:cNvPr id="0" name="tmp.png"/>
                    <pic:cNvPicPr/>
                  </pic:nvPicPr>
                  <pic:blipFill>
                    <a:blip r:embed="rId1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7" name="Picture 17"/>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8" name="Picture 18"/>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9" name="Picture 19"/>
            <wp:cNvGraphicFramePr>
              <a:graphicFrameLocks noChangeAspect="1"/>
            </wp:cNvGraphicFramePr>
            <a:graphic>
              <a:graphicData uri="http://schemas.openxmlformats.org/drawingml/2006/picture">
                <pic:pic>
                  <pic:nvPicPr>
                    <pic:cNvPr id="0" name="tmp.png"/>
                    <pic:cNvPicPr/>
                  </pic:nvPicPr>
                  <pic:blipFill>
                    <a:blip r:embed="rId2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0" name="Picture 20"/>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1" name="Picture 21"/>
            <wp:cNvGraphicFramePr>
              <a:graphicFrameLocks noChangeAspect="1"/>
            </wp:cNvGraphicFramePr>
            <a:graphic>
              <a:graphicData uri="http://schemas.openxmlformats.org/drawingml/2006/picture">
                <pic:pic>
                  <pic:nvPicPr>
                    <pic:cNvPr id="0" name="tmp.png"/>
                    <pic:cNvPicPr/>
                  </pic:nvPicPr>
                  <pic:blipFill>
                    <a:blip r:embed="rId2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2" name="Picture 22"/>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3" name="Picture 2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4" name="Picture 24"/>
            <wp:cNvGraphicFramePr>
              <a:graphicFrameLocks noChangeAspect="1"/>
            </wp:cNvGraphicFramePr>
            <a:graphic>
              <a:graphicData uri="http://schemas.openxmlformats.org/drawingml/2006/picture">
                <pic:pic>
                  <pic:nvPicPr>
                    <pic:cNvPr id="0" name="tmp.png"/>
                    <pic:cNvPicPr/>
                  </pic:nvPicPr>
                  <pic:blipFill>
                    <a:blip r:embed="rId2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5" name="Picture 25"/>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6" name="Picture 26"/>
            <wp:cNvGraphicFramePr>
              <a:graphicFrameLocks noChangeAspect="1"/>
            </wp:cNvGraphicFramePr>
            <a:graphic>
              <a:graphicData uri="http://schemas.openxmlformats.org/drawingml/2006/picture">
                <pic:pic>
                  <pic:nvPicPr>
                    <pic:cNvPr id="0" name="tmp.png"/>
                    <pic:cNvPicPr/>
                  </pic:nvPicPr>
                  <pic:blipFill>
                    <a:blip r:embed="rId23"/>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