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23 Cleanrooms</w:t>
      </w:r>
    </w:p>
    <w:p>
      <w:r>
        <w:t>23.1 General</w:t>
      </w:r>
    </w:p>
    <w:p>
      <w:r>
        <w:t>All semiconductor facilities containing a cleanroom or a clean zone, or both, shall comply with this chapter and NFPA 318.</w:t>
      </w:r>
    </w:p>
    <w:p>
      <w:r>
        <w:t>23.2 Applicability</w:t>
      </w:r>
    </w:p>
    <w:p>
      <w:r>
        <w:t>Unless otherwise noted in NFPA 318, the provisions of NFPA 318 shall not be applied to facilities, equipment, structures, or installations that were existing or approved for construction or installation prior to the effective date of this Code, except in those cases where it is determined by the AHJ that the existing situation involves a distinct hazard to life or adjacent property.</w:t>
      </w:r>
    </w:p>
    <w:p>
      <w:r>
        <w:t>23.3 Permits</w:t>
      </w:r>
    </w:p>
    <w:p>
      <w:r>
        <w:t>Permits, where required, shall comply with Section 1.12.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