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71 Pyrophoric Solids and Liquids</w:t>
      </w:r>
    </w:p>
    <w:p>
      <w:r>
        <w:t>71.1 General</w:t>
      </w:r>
    </w:p>
    <w:p>
      <w:r>
        <w:t>71.1.1</w:t>
      </w:r>
    </w:p>
    <w:p>
      <w:r>
        <w:t>The storage, use, and handling of pyrophoric solids and liquids shall comply with the requirements of Chapter 60.</w:t>
      </w:r>
    </w:p>
    <w:p>
      <w:r>
        <w:t>71.1.2</w:t>
      </w:r>
    </w:p>
    <w:p>
      <w:r>
        <w:t>The storage, use, and handling of pyrophoric solids and liquids in amounts exceeding the maximum allowable quantity permitted in control areas as set forth in Chapter 60 shall also comply with the requirements of NFPA 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