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85F83" w14:textId="7D03C7DE" w:rsidR="00A82204" w:rsidRPr="00A82204" w:rsidRDefault="00A82204" w:rsidP="00A8220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 xml:space="preserve">Diversifying </w:t>
      </w:r>
      <w:r w:rsidRPr="00A82204">
        <w:rPr>
          <w:rFonts w:ascii="Times New Roman" w:eastAsia="Times New Roman" w:hAnsi="Times New Roman" w:cs="Times New Roman"/>
          <w:b/>
          <w:bCs/>
          <w:kern w:val="36"/>
          <w:sz w:val="48"/>
          <w:szCs w:val="48"/>
          <w14:ligatures w14:val="none"/>
        </w:rPr>
        <w:t>the Volatility Risk Premium using ETF Options</w:t>
      </w:r>
    </w:p>
    <w:p w14:paraId="4CC146B3" w14:textId="7B6E3C93" w:rsidR="00A82204" w:rsidRPr="00A82204" w:rsidRDefault="00A82204" w:rsidP="00A82204">
      <w:pPr>
        <w:spacing w:before="100" w:beforeAutospacing="1" w:after="100" w:afterAutospacing="1" w:line="240" w:lineRule="auto"/>
        <w:rPr>
          <w:rFonts w:ascii="Times New Roman" w:eastAsia="Times New Roman" w:hAnsi="Times New Roman" w:cs="Times New Roman"/>
          <w:b/>
          <w:bCs/>
          <w:kern w:val="0"/>
          <w14:ligatures w14:val="none"/>
        </w:rPr>
      </w:pPr>
      <w:r w:rsidRPr="00A82204">
        <w:rPr>
          <w:rFonts w:ascii="Times New Roman" w:eastAsia="Times New Roman" w:hAnsi="Times New Roman" w:cs="Times New Roman"/>
          <w:b/>
          <w:bCs/>
          <w:kern w:val="0"/>
          <w14:ligatures w14:val="none"/>
        </w:rPr>
        <w:t>Introduction</w:t>
      </w:r>
    </w:p>
    <w:p w14:paraId="7DAD9BEF" w14:textId="3E633FE8" w:rsidR="00C74E23" w:rsidRPr="00A82204" w:rsidRDefault="00C74E23"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Per </w:t>
      </w:r>
      <w:proofErr w:type="spellStart"/>
      <w:r>
        <w:rPr>
          <w:rFonts w:ascii="Times New Roman" w:eastAsia="Times New Roman" w:hAnsi="Times New Roman" w:cs="Times New Roman"/>
          <w:kern w:val="0"/>
          <w14:ligatures w14:val="none"/>
        </w:rPr>
        <w:t>Ilmanen</w:t>
      </w:r>
      <w:proofErr w:type="spellEnd"/>
      <w:r>
        <w:rPr>
          <w:rFonts w:ascii="Times New Roman" w:eastAsia="Times New Roman" w:hAnsi="Times New Roman" w:cs="Times New Roman"/>
          <w:kern w:val="0"/>
          <w14:ligatures w14:val="none"/>
        </w:rPr>
        <w:t xml:space="preserve"> (2011)</w:t>
      </w:r>
      <w:r w:rsidR="00062086">
        <w:rPr>
          <w:rStyle w:val="FootnoteReference"/>
          <w:rFonts w:ascii="Times New Roman" w:eastAsia="Times New Roman" w:hAnsi="Times New Roman" w:cs="Times New Roman"/>
          <w:kern w:val="0"/>
          <w14:ligatures w14:val="none"/>
        </w:rPr>
        <w:footnoteReference w:id="1"/>
      </w:r>
      <w:r>
        <w:rPr>
          <w:rFonts w:ascii="Times New Roman" w:eastAsia="Times New Roman" w:hAnsi="Times New Roman" w:cs="Times New Roman"/>
          <w:kern w:val="0"/>
          <w14:ligatures w14:val="none"/>
        </w:rPr>
        <w:t>, t</w:t>
      </w:r>
      <w:r w:rsidR="00A82204">
        <w:rPr>
          <w:rFonts w:ascii="Times New Roman" w:eastAsia="Times New Roman" w:hAnsi="Times New Roman" w:cs="Times New Roman"/>
          <w:kern w:val="0"/>
          <w14:ligatures w14:val="none"/>
        </w:rPr>
        <w:t>he short volatility risk premium</w:t>
      </w:r>
      <w:r>
        <w:rPr>
          <w:rFonts w:ascii="Times New Roman" w:eastAsia="Times New Roman" w:hAnsi="Times New Roman" w:cs="Times New Roman"/>
          <w:kern w:val="0"/>
          <w14:ligatures w14:val="none"/>
        </w:rPr>
        <w:t xml:space="preserve"> (SVRP)</w:t>
      </w:r>
      <w:r w:rsidR="00062086">
        <w:rPr>
          <w:rFonts w:ascii="Times New Roman" w:eastAsia="Times New Roman" w:hAnsi="Times New Roman" w:cs="Times New Roman"/>
          <w:kern w:val="0"/>
          <w14:ligatures w14:val="none"/>
        </w:rPr>
        <w:t xml:space="preserve"> is based on </w:t>
      </w:r>
      <w:r w:rsidR="00B46F06">
        <w:rPr>
          <w:rFonts w:ascii="Times New Roman" w:eastAsia="Times New Roman" w:hAnsi="Times New Roman" w:cs="Times New Roman"/>
          <w:kern w:val="0"/>
          <w14:ligatures w14:val="none"/>
        </w:rPr>
        <w:t xml:space="preserve">the consistent pattern of (prior) </w:t>
      </w:r>
      <w:r>
        <w:rPr>
          <w:rFonts w:ascii="Times New Roman" w:eastAsia="Times New Roman" w:hAnsi="Times New Roman" w:cs="Times New Roman"/>
          <w:kern w:val="0"/>
          <w14:ligatures w14:val="none"/>
        </w:rPr>
        <w:t xml:space="preserve">implied volatility </w:t>
      </w:r>
      <w:r w:rsidRPr="00A82204">
        <w:rPr>
          <w:rFonts w:ascii="Times New Roman" w:eastAsia="Times New Roman" w:hAnsi="Times New Roman" w:cs="Times New Roman"/>
          <w:kern w:val="0"/>
          <w14:ligatures w14:val="none"/>
        </w:rPr>
        <w:t>systematically exceed</w:t>
      </w:r>
      <w:r w:rsidR="00B46F06">
        <w:rPr>
          <w:rFonts w:ascii="Times New Roman" w:eastAsia="Times New Roman" w:hAnsi="Times New Roman" w:cs="Times New Roman"/>
          <w:kern w:val="0"/>
          <w14:ligatures w14:val="none"/>
        </w:rPr>
        <w:t>ing</w:t>
      </w:r>
      <w:r w:rsidRPr="00A82204">
        <w:rPr>
          <w:rFonts w:ascii="Times New Roman" w:eastAsia="Times New Roman" w:hAnsi="Times New Roman" w:cs="Times New Roman"/>
          <w:kern w:val="0"/>
          <w14:ligatures w14:val="none"/>
        </w:rPr>
        <w:t xml:space="preserve"> </w:t>
      </w:r>
      <w:r w:rsidR="00B46F06">
        <w:rPr>
          <w:rFonts w:ascii="Times New Roman" w:eastAsia="Times New Roman" w:hAnsi="Times New Roman" w:cs="Times New Roman"/>
          <w:kern w:val="0"/>
          <w14:ligatures w14:val="none"/>
        </w:rPr>
        <w:t xml:space="preserve">(subsequent) </w:t>
      </w:r>
      <w:r w:rsidRPr="00A82204">
        <w:rPr>
          <w:rFonts w:ascii="Times New Roman" w:eastAsia="Times New Roman" w:hAnsi="Times New Roman" w:cs="Times New Roman"/>
          <w:kern w:val="0"/>
          <w14:ligatures w14:val="none"/>
        </w:rPr>
        <w:t>realized volatility</w:t>
      </w:r>
      <w:r w:rsidR="00B46F06">
        <w:rPr>
          <w:rFonts w:ascii="Times New Roman" w:eastAsia="Times New Roman" w:hAnsi="Times New Roman" w:cs="Times New Roman"/>
          <w:kern w:val="0"/>
          <w14:ligatures w14:val="none"/>
        </w:rPr>
        <w:t xml:space="preserve">. </w:t>
      </w:r>
      <w:r w:rsidR="00B46F06" w:rsidRPr="00A82204">
        <w:rPr>
          <w:rFonts w:ascii="Times New Roman" w:eastAsia="Times New Roman" w:hAnsi="Times New Roman" w:cs="Times New Roman"/>
          <w:kern w:val="0"/>
          <w14:ligatures w14:val="none"/>
        </w:rPr>
        <w:t xml:space="preserve">This </w:t>
      </w:r>
      <w:r w:rsidR="00062086">
        <w:rPr>
          <w:rFonts w:ascii="Times New Roman" w:eastAsia="Times New Roman" w:hAnsi="Times New Roman" w:cs="Times New Roman"/>
          <w:kern w:val="0"/>
          <w14:ligatures w14:val="none"/>
        </w:rPr>
        <w:t xml:space="preserve">premium </w:t>
      </w:r>
      <w:r w:rsidR="00B46F06" w:rsidRPr="00A82204">
        <w:rPr>
          <w:rFonts w:ascii="Times New Roman" w:eastAsia="Times New Roman" w:hAnsi="Times New Roman" w:cs="Times New Roman"/>
          <w:kern w:val="0"/>
          <w14:ligatures w14:val="none"/>
        </w:rPr>
        <w:t>reflects the insurance-like nature of options, where risk-averse investors consistently overpay</w:t>
      </w:r>
      <w:r w:rsidR="00062086">
        <w:rPr>
          <w:rFonts w:ascii="Times New Roman" w:eastAsia="Times New Roman" w:hAnsi="Times New Roman" w:cs="Times New Roman"/>
          <w:kern w:val="0"/>
          <w14:ligatures w14:val="none"/>
        </w:rPr>
        <w:t xml:space="preserve"> relative to actuarial fair value</w:t>
      </w:r>
      <w:r w:rsidR="00B46F06" w:rsidRPr="00A82204">
        <w:rPr>
          <w:rFonts w:ascii="Times New Roman" w:eastAsia="Times New Roman" w:hAnsi="Times New Roman" w:cs="Times New Roman"/>
          <w:kern w:val="0"/>
          <w14:ligatures w14:val="none"/>
        </w:rPr>
        <w:t xml:space="preserve"> for portfolio protection.</w:t>
      </w:r>
      <w:r w:rsidR="00B46F06">
        <w:rPr>
          <w:rFonts w:ascii="Times New Roman" w:eastAsia="Times New Roman" w:hAnsi="Times New Roman" w:cs="Times New Roman"/>
          <w:kern w:val="0"/>
          <w14:ligatures w14:val="none"/>
        </w:rPr>
        <w:t xml:space="preserve">  This tendency </w:t>
      </w:r>
      <w:r w:rsidRPr="00A82204">
        <w:rPr>
          <w:rFonts w:ascii="Times New Roman" w:eastAsia="Times New Roman" w:hAnsi="Times New Roman" w:cs="Times New Roman"/>
          <w:kern w:val="0"/>
          <w14:ligatures w14:val="none"/>
        </w:rPr>
        <w:t xml:space="preserve">creates </w:t>
      </w:r>
      <w:proofErr w:type="gramStart"/>
      <w:r w:rsidR="00062086">
        <w:rPr>
          <w:rFonts w:ascii="Times New Roman" w:eastAsia="Times New Roman" w:hAnsi="Times New Roman" w:cs="Times New Roman"/>
          <w:kern w:val="0"/>
          <w14:ligatures w14:val="none"/>
        </w:rPr>
        <w:t xml:space="preserve">reliable </w:t>
      </w:r>
      <w:r w:rsidRPr="00A82204">
        <w:rPr>
          <w:rFonts w:ascii="Times New Roman" w:eastAsia="Times New Roman" w:hAnsi="Times New Roman" w:cs="Times New Roman"/>
          <w:kern w:val="0"/>
          <w14:ligatures w14:val="none"/>
        </w:rPr>
        <w:t xml:space="preserve"> opportunities</w:t>
      </w:r>
      <w:proofErr w:type="gramEnd"/>
      <w:r w:rsidRPr="00A82204">
        <w:rPr>
          <w:rFonts w:ascii="Times New Roman" w:eastAsia="Times New Roman" w:hAnsi="Times New Roman" w:cs="Times New Roman"/>
          <w:kern w:val="0"/>
          <w14:ligatures w14:val="none"/>
        </w:rPr>
        <w:t xml:space="preserve"> for volatility sellers willing </w:t>
      </w:r>
      <w:r w:rsidR="00B46F06">
        <w:rPr>
          <w:rFonts w:ascii="Times New Roman" w:eastAsia="Times New Roman" w:hAnsi="Times New Roman" w:cs="Times New Roman"/>
          <w:kern w:val="0"/>
          <w14:ligatures w14:val="none"/>
        </w:rPr>
        <w:t xml:space="preserve">and able </w:t>
      </w:r>
      <w:r w:rsidRPr="00A82204">
        <w:rPr>
          <w:rFonts w:ascii="Times New Roman" w:eastAsia="Times New Roman" w:hAnsi="Times New Roman" w:cs="Times New Roman"/>
          <w:kern w:val="0"/>
          <w14:ligatures w14:val="none"/>
        </w:rPr>
        <w:t xml:space="preserve">to bear </w:t>
      </w:r>
      <w:r w:rsidR="00B46F06">
        <w:rPr>
          <w:rFonts w:ascii="Times New Roman" w:eastAsia="Times New Roman" w:hAnsi="Times New Roman" w:cs="Times New Roman"/>
          <w:kern w:val="0"/>
          <w14:ligatures w14:val="none"/>
        </w:rPr>
        <w:t xml:space="preserve">infrequent </w:t>
      </w:r>
      <w:r w:rsidRPr="00A82204">
        <w:rPr>
          <w:rFonts w:ascii="Times New Roman" w:eastAsia="Times New Roman" w:hAnsi="Times New Roman" w:cs="Times New Roman"/>
          <w:kern w:val="0"/>
          <w14:ligatures w14:val="none"/>
        </w:rPr>
        <w:t>c</w:t>
      </w:r>
      <w:r>
        <w:rPr>
          <w:rFonts w:ascii="Times New Roman" w:eastAsia="Times New Roman" w:hAnsi="Times New Roman" w:cs="Times New Roman"/>
          <w:kern w:val="0"/>
          <w14:ligatures w14:val="none"/>
        </w:rPr>
        <w:t xml:space="preserve"> </w:t>
      </w:r>
    </w:p>
    <w:p w14:paraId="0969308A" w14:textId="52AF2BDE" w:rsidR="00243CC9" w:rsidRDefault="008D3A4D" w:rsidP="00243CC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 equities, the </w:t>
      </w:r>
      <w:r w:rsidR="00062086">
        <w:rPr>
          <w:rFonts w:ascii="Times New Roman" w:eastAsia="Times New Roman" w:hAnsi="Times New Roman" w:cs="Times New Roman"/>
          <w:kern w:val="0"/>
          <w14:ligatures w14:val="none"/>
        </w:rPr>
        <w:t xml:space="preserve">primary </w:t>
      </w:r>
      <w:r>
        <w:rPr>
          <w:rFonts w:ascii="Times New Roman" w:eastAsia="Times New Roman" w:hAnsi="Times New Roman" w:cs="Times New Roman"/>
          <w:kern w:val="0"/>
          <w14:ligatures w14:val="none"/>
        </w:rPr>
        <w:t xml:space="preserve">assets </w:t>
      </w:r>
      <w:r w:rsidR="00062086">
        <w:rPr>
          <w:rFonts w:ascii="Times New Roman" w:eastAsia="Times New Roman" w:hAnsi="Times New Roman" w:cs="Times New Roman"/>
          <w:kern w:val="0"/>
          <w14:ligatures w14:val="none"/>
        </w:rPr>
        <w:t xml:space="preserve">that historically have been used to capture the SVRP have been </w:t>
      </w:r>
      <w:r>
        <w:rPr>
          <w:rFonts w:ascii="Times New Roman" w:eastAsia="Times New Roman" w:hAnsi="Times New Roman" w:cs="Times New Roman"/>
          <w:kern w:val="0"/>
          <w14:ligatures w14:val="none"/>
        </w:rPr>
        <w:t xml:space="preserve">market-wide </w:t>
      </w:r>
      <w:r w:rsidR="00A82204">
        <w:rPr>
          <w:rFonts w:ascii="Times New Roman" w:eastAsia="Times New Roman" w:hAnsi="Times New Roman" w:cs="Times New Roman"/>
          <w:kern w:val="0"/>
          <w14:ligatures w14:val="none"/>
        </w:rPr>
        <w:t>indexe</w:t>
      </w:r>
      <w:r>
        <w:rPr>
          <w:rFonts w:ascii="Times New Roman" w:eastAsia="Times New Roman" w:hAnsi="Times New Roman" w:cs="Times New Roman"/>
          <w:kern w:val="0"/>
          <w14:ligatures w14:val="none"/>
        </w:rPr>
        <w:t xml:space="preserve">s, like the S&amp;P 500 </w:t>
      </w:r>
      <w:r w:rsidR="00062086">
        <w:rPr>
          <w:rFonts w:ascii="Times New Roman" w:eastAsia="Times New Roman" w:hAnsi="Times New Roman" w:cs="Times New Roman"/>
          <w:kern w:val="0"/>
          <w14:ligatures w14:val="none"/>
        </w:rPr>
        <w:t>(or SPY) in the United States</w:t>
      </w:r>
      <w:r w:rsidR="00A82204">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r w:rsidR="00062086">
        <w:rPr>
          <w:rFonts w:ascii="Times New Roman" w:eastAsia="Times New Roman" w:hAnsi="Times New Roman" w:cs="Times New Roman"/>
          <w:kern w:val="0"/>
          <w14:ligatures w14:val="none"/>
        </w:rPr>
        <w:t xml:space="preserve">Various instruments are used, </w:t>
      </w:r>
      <w:r>
        <w:rPr>
          <w:rFonts w:ascii="Times New Roman" w:eastAsia="Times New Roman" w:hAnsi="Times New Roman" w:cs="Times New Roman"/>
          <w:kern w:val="0"/>
          <w14:ligatures w14:val="none"/>
        </w:rPr>
        <w:t>including variance swaps, short straddles, and others</w:t>
      </w:r>
      <w:r w:rsidR="00062086">
        <w:rPr>
          <w:rFonts w:ascii="Times New Roman" w:eastAsia="Times New Roman" w:hAnsi="Times New Roman" w:cs="Times New Roman"/>
          <w:kern w:val="0"/>
          <w14:ligatures w14:val="none"/>
        </w:rPr>
        <w:t xml:space="preserve">, depending on the size of the trade and the capabilities of the trader.  However, </w:t>
      </w:r>
      <w:r w:rsidR="00243CC9" w:rsidRPr="00A82204">
        <w:rPr>
          <w:rFonts w:ascii="Times New Roman" w:eastAsia="Times New Roman" w:hAnsi="Times New Roman" w:cs="Times New Roman"/>
          <w:kern w:val="0"/>
          <w14:ligatures w14:val="none"/>
        </w:rPr>
        <w:t>there has been limited systematic examination of th</w:t>
      </w:r>
      <w:r w:rsidR="00062086">
        <w:rPr>
          <w:rFonts w:ascii="Times New Roman" w:eastAsia="Times New Roman" w:hAnsi="Times New Roman" w:cs="Times New Roman"/>
          <w:kern w:val="0"/>
          <w14:ligatures w14:val="none"/>
        </w:rPr>
        <w:t xml:space="preserve">e properties and magnitude of the SVRP in </w:t>
      </w:r>
      <w:r w:rsidR="00243CC9" w:rsidRPr="00A82204">
        <w:rPr>
          <w:rFonts w:ascii="Times New Roman" w:eastAsia="Times New Roman" w:hAnsi="Times New Roman" w:cs="Times New Roman"/>
          <w:kern w:val="0"/>
          <w14:ligatures w14:val="none"/>
        </w:rPr>
        <w:t>the broader universe of exchange-traded funds. This represents a significant gap, as the explosive growth of the ETF market has created numerous liquid options markets across diverse asset classes, sectors, and geographies.</w:t>
      </w:r>
    </w:p>
    <w:p w14:paraId="7E55985B" w14:textId="3C6AAADD" w:rsidR="00E44381" w:rsidRDefault="00062086" w:rsidP="00A82204">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 this note </w:t>
      </w:r>
      <w:r w:rsidR="00A82204">
        <w:rPr>
          <w:rFonts w:ascii="Times New Roman" w:eastAsia="Times New Roman" w:hAnsi="Times New Roman" w:cs="Times New Roman"/>
          <w:kern w:val="0"/>
          <w14:ligatures w14:val="none"/>
        </w:rPr>
        <w:t xml:space="preserve">we examine the </w:t>
      </w:r>
      <w:r>
        <w:rPr>
          <w:rFonts w:ascii="Times New Roman" w:eastAsia="Times New Roman" w:hAnsi="Times New Roman" w:cs="Times New Roman"/>
          <w:kern w:val="0"/>
          <w14:ligatures w14:val="none"/>
        </w:rPr>
        <w:t>SVRP</w:t>
      </w:r>
      <w:r w:rsidR="00A82204">
        <w:rPr>
          <w:rFonts w:ascii="Times New Roman" w:eastAsia="Times New Roman" w:hAnsi="Times New Roman" w:cs="Times New Roman"/>
          <w:kern w:val="0"/>
          <w14:ligatures w14:val="none"/>
        </w:rPr>
        <w:t xml:space="preserve"> </w:t>
      </w:r>
      <w:r w:rsidR="008D3A4D">
        <w:rPr>
          <w:rFonts w:ascii="Times New Roman" w:eastAsia="Times New Roman" w:hAnsi="Times New Roman" w:cs="Times New Roman"/>
          <w:kern w:val="0"/>
          <w14:ligatures w14:val="none"/>
        </w:rPr>
        <w:t>using short delta hedged straddles on</w:t>
      </w:r>
      <w:r>
        <w:rPr>
          <w:rFonts w:ascii="Times New Roman" w:eastAsia="Times New Roman" w:hAnsi="Times New Roman" w:cs="Times New Roman"/>
          <w:kern w:val="0"/>
          <w14:ligatures w14:val="none"/>
        </w:rPr>
        <w:t xml:space="preserve"> a variety of major</w:t>
      </w:r>
      <w:r w:rsidR="008D3A4D">
        <w:rPr>
          <w:rFonts w:ascii="Times New Roman" w:eastAsia="Times New Roman" w:hAnsi="Times New Roman" w:cs="Times New Roman"/>
          <w:kern w:val="0"/>
          <w14:ligatures w14:val="none"/>
        </w:rPr>
        <w:t xml:space="preserve"> </w:t>
      </w:r>
      <w:r w:rsidR="00A82204">
        <w:rPr>
          <w:rFonts w:ascii="Times New Roman" w:eastAsia="Times New Roman" w:hAnsi="Times New Roman" w:cs="Times New Roman"/>
          <w:kern w:val="0"/>
          <w14:ligatures w14:val="none"/>
        </w:rPr>
        <w:t>ETF</w:t>
      </w:r>
      <w:r w:rsidR="008D3A4D">
        <w:rPr>
          <w:rFonts w:ascii="Times New Roman" w:eastAsia="Times New Roman" w:hAnsi="Times New Roman" w:cs="Times New Roman"/>
          <w:kern w:val="0"/>
          <w14:ligatures w14:val="none"/>
        </w:rPr>
        <w:t>s</w:t>
      </w:r>
      <w:r w:rsidR="00A82204">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Our set of ETFs </w:t>
      </w:r>
      <w:r w:rsidR="00A82204">
        <w:rPr>
          <w:rFonts w:ascii="Times New Roman" w:eastAsia="Times New Roman" w:hAnsi="Times New Roman" w:cs="Times New Roman"/>
          <w:kern w:val="0"/>
          <w14:ligatures w14:val="none"/>
        </w:rPr>
        <w:t>span various</w:t>
      </w:r>
      <w:r w:rsidR="00A82204" w:rsidRPr="00A82204">
        <w:rPr>
          <w:rFonts w:ascii="Times New Roman" w:eastAsia="Times New Roman" w:hAnsi="Times New Roman" w:cs="Times New Roman"/>
          <w:kern w:val="0"/>
          <w14:ligatures w14:val="none"/>
        </w:rPr>
        <w:t xml:space="preserve"> equity sectors, international markets, fixed income, and commodities</w:t>
      </w:r>
      <w:r w:rsidR="00A82204">
        <w:rPr>
          <w:rFonts w:ascii="Times New Roman" w:eastAsia="Times New Roman" w:hAnsi="Times New Roman" w:cs="Times New Roman"/>
          <w:kern w:val="0"/>
          <w14:ligatures w14:val="none"/>
        </w:rPr>
        <w:t>.</w:t>
      </w:r>
      <w:r w:rsidR="00E44381">
        <w:rPr>
          <w:rFonts w:ascii="Times New Roman" w:eastAsia="Times New Roman" w:hAnsi="Times New Roman" w:cs="Times New Roman"/>
          <w:kern w:val="0"/>
          <w14:ligatures w14:val="none"/>
        </w:rPr>
        <w:t xml:space="preserve"> O</w:t>
      </w:r>
      <w:r w:rsidR="00A82204">
        <w:rPr>
          <w:rFonts w:ascii="Times New Roman" w:eastAsia="Times New Roman" w:hAnsi="Times New Roman" w:cs="Times New Roman"/>
          <w:kern w:val="0"/>
          <w14:ligatures w14:val="none"/>
        </w:rPr>
        <w:t xml:space="preserve">ur </w:t>
      </w:r>
      <w:r>
        <w:rPr>
          <w:rFonts w:ascii="Times New Roman" w:eastAsia="Times New Roman" w:hAnsi="Times New Roman" w:cs="Times New Roman"/>
          <w:kern w:val="0"/>
          <w14:ligatures w14:val="none"/>
        </w:rPr>
        <w:t xml:space="preserve">data </w:t>
      </w:r>
      <w:r w:rsidR="00A82204">
        <w:rPr>
          <w:rFonts w:ascii="Times New Roman" w:eastAsia="Times New Roman" w:hAnsi="Times New Roman" w:cs="Times New Roman"/>
          <w:kern w:val="0"/>
          <w14:ligatures w14:val="none"/>
        </w:rPr>
        <w:t xml:space="preserve">sample </w:t>
      </w:r>
      <w:r w:rsidR="00E44381">
        <w:rPr>
          <w:rFonts w:ascii="Times New Roman" w:eastAsia="Times New Roman" w:hAnsi="Times New Roman" w:cs="Times New Roman"/>
          <w:kern w:val="0"/>
          <w14:ligatures w14:val="none"/>
        </w:rPr>
        <w:t xml:space="preserve">of option prices </w:t>
      </w:r>
      <w:r w:rsidR="00A82204">
        <w:rPr>
          <w:rFonts w:ascii="Times New Roman" w:eastAsia="Times New Roman" w:hAnsi="Times New Roman" w:cs="Times New Roman"/>
          <w:kern w:val="0"/>
          <w14:ligatures w14:val="none"/>
        </w:rPr>
        <w:t xml:space="preserve">is </w:t>
      </w:r>
      <w:r>
        <w:rPr>
          <w:rFonts w:ascii="Times New Roman" w:eastAsia="Times New Roman" w:hAnsi="Times New Roman" w:cs="Times New Roman"/>
          <w:kern w:val="0"/>
          <w14:ligatures w14:val="none"/>
        </w:rPr>
        <w:t xml:space="preserve">sourced from ORATS since 2015. </w:t>
      </w:r>
    </w:p>
    <w:p w14:paraId="33EC1FBF" w14:textId="72CCD735" w:rsidR="00243CC9" w:rsidRDefault="00E44381" w:rsidP="00A82204">
      <w:pPr>
        <w:spacing w:before="100" w:beforeAutospacing="1" w:after="100" w:afterAutospacing="1" w:line="240" w:lineRule="auto"/>
        <w:rPr>
          <w:rFonts w:ascii="Times New Roman" w:eastAsia="Times New Roman" w:hAnsi="Times New Roman" w:cs="Times New Roman"/>
          <w:kern w:val="0"/>
          <w14:ligatures w14:val="none"/>
        </w:rPr>
      </w:pPr>
      <w:r w:rsidRPr="00062086">
        <w:rPr>
          <w:rFonts w:ascii="Times New Roman" w:eastAsia="Times New Roman" w:hAnsi="Times New Roman" w:cs="Times New Roman"/>
          <w:kern w:val="0"/>
          <w14:ligatures w14:val="none"/>
        </w:rPr>
        <w:t xml:space="preserve">Our results </w:t>
      </w:r>
      <w:r w:rsidR="00A82204" w:rsidRPr="00062086">
        <w:rPr>
          <w:rFonts w:ascii="Times New Roman" w:hAnsi="Times New Roman" w:cs="Times New Roman"/>
        </w:rPr>
        <w:t>confirm the existence and magnitude of volatility risk premiums in the ETFs</w:t>
      </w:r>
      <w:r w:rsidRPr="00062086">
        <w:rPr>
          <w:rFonts w:ascii="Times New Roman" w:hAnsi="Times New Roman" w:cs="Times New Roman"/>
        </w:rPr>
        <w:t>, with Sharpe ratios rivaling those of indexes quoted from prior studies</w:t>
      </w:r>
      <w:r w:rsidR="00A82204" w:rsidRPr="00062086">
        <w:rPr>
          <w:rFonts w:ascii="Times New Roman" w:hAnsi="Times New Roman" w:cs="Times New Roman"/>
        </w:rPr>
        <w:t xml:space="preserve">. </w:t>
      </w:r>
      <w:r w:rsidR="008D3A4D" w:rsidRPr="00062086">
        <w:rPr>
          <w:rFonts w:ascii="Times New Roman" w:hAnsi="Times New Roman" w:cs="Times New Roman"/>
        </w:rPr>
        <w:t xml:space="preserve"> </w:t>
      </w:r>
      <w:r w:rsidRPr="00062086">
        <w:rPr>
          <w:rFonts w:ascii="Times New Roman" w:hAnsi="Times New Roman" w:cs="Times New Roman"/>
        </w:rPr>
        <w:t xml:space="preserve">  Results are especially strong</w:t>
      </w:r>
      <w:r w:rsidR="00A82204" w:rsidRPr="00062086">
        <w:rPr>
          <w:rFonts w:ascii="Times New Roman" w:eastAsia="Times New Roman" w:hAnsi="Times New Roman" w:cs="Times New Roman"/>
          <w:kern w:val="0"/>
          <w14:ligatures w14:val="none"/>
        </w:rPr>
        <w:t xml:space="preserve"> when strategies are aggregated into</w:t>
      </w:r>
      <w:r w:rsidR="008D3A4D" w:rsidRPr="00062086">
        <w:rPr>
          <w:rFonts w:ascii="Times New Roman" w:eastAsia="Times New Roman" w:hAnsi="Times New Roman" w:cs="Times New Roman"/>
          <w:kern w:val="0"/>
          <w14:ligatures w14:val="none"/>
        </w:rPr>
        <w:t xml:space="preserve"> composites.  </w:t>
      </w:r>
      <w:proofErr w:type="spellStart"/>
      <w:r w:rsidR="00062086" w:rsidRPr="00062086">
        <w:rPr>
          <w:rFonts w:ascii="Times New Roman" w:eastAsia="Times New Roman" w:hAnsi="Times New Roman" w:cs="Times New Roman"/>
          <w:kern w:val="0"/>
          <w14:ligatures w14:val="none"/>
        </w:rPr>
        <w:t>Forinstance</w:t>
      </w:r>
      <w:proofErr w:type="spellEnd"/>
      <w:r w:rsidR="00062086" w:rsidRPr="00062086">
        <w:rPr>
          <w:rFonts w:ascii="Times New Roman" w:eastAsia="Times New Roman" w:hAnsi="Times New Roman" w:cs="Times New Roman"/>
          <w:kern w:val="0"/>
          <w14:ligatures w14:val="none"/>
        </w:rPr>
        <w:t>, a</w:t>
      </w:r>
      <w:r w:rsidR="008D3A4D" w:rsidRPr="00062086">
        <w:rPr>
          <w:rFonts w:ascii="Times New Roman" w:eastAsia="Times New Roman" w:hAnsi="Times New Roman" w:cs="Times New Roman"/>
          <w:kern w:val="0"/>
          <w14:ligatures w14:val="none"/>
        </w:rPr>
        <w:t xml:space="preserve">n </w:t>
      </w:r>
      <w:proofErr w:type="gramStart"/>
      <w:r w:rsidR="008D3A4D" w:rsidRPr="00062086">
        <w:rPr>
          <w:rFonts w:ascii="Times New Roman" w:eastAsia="Times New Roman" w:hAnsi="Times New Roman" w:cs="Times New Roman"/>
          <w:kern w:val="0"/>
          <w14:ligatures w14:val="none"/>
        </w:rPr>
        <w:t>equally-weighted</w:t>
      </w:r>
      <w:proofErr w:type="gramEnd"/>
      <w:r w:rsidR="008D3A4D" w:rsidRPr="00062086">
        <w:rPr>
          <w:rFonts w:ascii="Times New Roman" w:eastAsia="Times New Roman" w:hAnsi="Times New Roman" w:cs="Times New Roman"/>
          <w:kern w:val="0"/>
          <w14:ligatures w14:val="none"/>
        </w:rPr>
        <w:t xml:space="preserve"> composite </w:t>
      </w:r>
      <w:r w:rsidRPr="00062086">
        <w:rPr>
          <w:rFonts w:ascii="Times New Roman" w:eastAsia="Times New Roman" w:hAnsi="Times New Roman" w:cs="Times New Roman"/>
          <w:kern w:val="0"/>
          <w14:ligatures w14:val="none"/>
        </w:rPr>
        <w:t xml:space="preserve">of ETF strategy returns </w:t>
      </w:r>
      <w:r w:rsidR="008D3A4D" w:rsidRPr="00062086">
        <w:rPr>
          <w:rFonts w:ascii="Times New Roman" w:eastAsia="Times New Roman" w:hAnsi="Times New Roman" w:cs="Times New Roman"/>
          <w:kern w:val="0"/>
          <w14:ligatures w14:val="none"/>
        </w:rPr>
        <w:t xml:space="preserve">earns an annualized Sharpe ratio of </w:t>
      </w:r>
      <w:r w:rsidRPr="00062086">
        <w:rPr>
          <w:rFonts w:ascii="Times New Roman" w:eastAsia="Times New Roman" w:hAnsi="Times New Roman" w:cs="Times New Roman"/>
          <w:kern w:val="0"/>
          <w14:ligatures w14:val="none"/>
        </w:rPr>
        <w:t>approximately 1.0, with correlation to the comparable strategy on SPY of 0.7 and SPY underlying of 0.5</w:t>
      </w:r>
      <w:r w:rsidR="00062086" w:rsidRPr="00062086">
        <w:rPr>
          <w:rFonts w:ascii="Times New Roman" w:eastAsia="Times New Roman" w:hAnsi="Times New Roman" w:cs="Times New Roman"/>
          <w:kern w:val="0"/>
          <w14:ligatures w14:val="none"/>
        </w:rPr>
        <w:t xml:space="preserve">.   Preliminary results on alternative weighting schemes suggest little incremental benefit from the use of </w:t>
      </w:r>
      <w:r w:rsidR="00062086">
        <w:rPr>
          <w:rFonts w:ascii="Times New Roman" w:eastAsia="Times New Roman" w:hAnsi="Times New Roman" w:cs="Times New Roman"/>
          <w:kern w:val="0"/>
          <w14:ligatures w14:val="none"/>
        </w:rPr>
        <w:t xml:space="preserve">correlations in forming the composite.  Of course, SVRP return streams from ETFs are still punctuated by periodic crashes, which may limit the usefulness of such strategies. </w:t>
      </w:r>
    </w:p>
    <w:p w14:paraId="482A6132" w14:textId="53A6EFBD" w:rsidR="00062086" w:rsidRDefault="00062086" w:rsidP="00A82204">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This research and our results are preliminary.  Areas for further research include transaction costs, longer option data samples, and other methods and instruments of capturing the SVRP.</w:t>
      </w:r>
    </w:p>
    <w:p w14:paraId="33ED0D30" w14:textId="77777777" w:rsidR="00243CC9" w:rsidRDefault="00243CC9">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4E373D33" w14:textId="77777777" w:rsidR="00A82204" w:rsidRDefault="00A82204" w:rsidP="00A82204">
      <w:pPr>
        <w:spacing w:before="100" w:beforeAutospacing="1" w:after="100" w:afterAutospacing="1" w:line="240" w:lineRule="auto"/>
        <w:rPr>
          <w:rFonts w:ascii="Times New Roman" w:eastAsia="Times New Roman" w:hAnsi="Times New Roman" w:cs="Times New Roman"/>
          <w:kern w:val="0"/>
          <w14:ligatures w14:val="none"/>
        </w:rPr>
      </w:pPr>
    </w:p>
    <w:p w14:paraId="7C7DD3EE" w14:textId="071EBD8A" w:rsidR="00A82204" w:rsidRPr="00062086" w:rsidRDefault="00A82204" w:rsidP="00062086">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62086">
        <w:rPr>
          <w:rFonts w:ascii="Times New Roman" w:eastAsia="Times New Roman" w:hAnsi="Times New Roman" w:cs="Times New Roman"/>
          <w:b/>
          <w:bCs/>
          <w:kern w:val="0"/>
          <w:sz w:val="27"/>
          <w:szCs w:val="27"/>
          <w14:ligatures w14:val="none"/>
        </w:rPr>
        <w:t xml:space="preserve"> ETF Universe Characteristics</w:t>
      </w:r>
    </w:p>
    <w:p w14:paraId="023855B7" w14:textId="4038FCCD" w:rsidR="00A82204" w:rsidRPr="00A82204" w:rsidRDefault="00A82204" w:rsidP="00A82204">
      <w:pPr>
        <w:spacing w:before="100" w:beforeAutospacing="1" w:after="100" w:afterAutospacing="1"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 xml:space="preserve">Our analysis focuses on </w:t>
      </w:r>
      <w:r w:rsidR="00243CC9">
        <w:rPr>
          <w:rFonts w:ascii="Times New Roman" w:eastAsia="Times New Roman" w:hAnsi="Times New Roman" w:cs="Times New Roman"/>
          <w:kern w:val="0"/>
          <w14:ligatures w14:val="none"/>
        </w:rPr>
        <w:t>19</w:t>
      </w:r>
      <w:r w:rsidRPr="00A82204">
        <w:rPr>
          <w:rFonts w:ascii="Times New Roman" w:eastAsia="Times New Roman" w:hAnsi="Times New Roman" w:cs="Times New Roman"/>
          <w:kern w:val="0"/>
          <w14:ligatures w14:val="none"/>
        </w:rPr>
        <w:t xml:space="preserve"> highly liquid ETFs spanning multiple asset classes and investment styles. Table 1 provides detailed characteristics of these ETFs, which serve as the foundation for our volatility premium analysis. We use SPY (SPDR S&amp;P 500 ETF) as a benchmark comparator, representing the traditional broad market volatility premium documented in the literature.</w:t>
      </w:r>
    </w:p>
    <w:p w14:paraId="463CF185" w14:textId="768614EC" w:rsidR="00A82204" w:rsidRPr="00A82204" w:rsidRDefault="00A82204" w:rsidP="00A82204">
      <w:pPr>
        <w:spacing w:before="100" w:beforeAutospacing="1" w:after="100" w:afterAutospacing="1"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Table 1: ETF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5"/>
        <w:gridCol w:w="2193"/>
        <w:gridCol w:w="1629"/>
        <w:gridCol w:w="1269"/>
        <w:gridCol w:w="904"/>
        <w:gridCol w:w="1184"/>
        <w:gridCol w:w="2002"/>
      </w:tblGrid>
      <w:tr w:rsidR="00A82204" w:rsidRPr="00A82204" w14:paraId="66DB4D90" w14:textId="77777777">
        <w:trPr>
          <w:tblHeader/>
          <w:tblCellSpacing w:w="15" w:type="dxa"/>
        </w:trPr>
        <w:tc>
          <w:tcPr>
            <w:tcW w:w="0" w:type="auto"/>
            <w:vAlign w:val="center"/>
            <w:hideMark/>
          </w:tcPr>
          <w:p w14:paraId="2B0A6352" w14:textId="77777777" w:rsidR="00A82204" w:rsidRPr="00A82204" w:rsidRDefault="00A82204" w:rsidP="00A82204">
            <w:pPr>
              <w:spacing w:after="0" w:line="240" w:lineRule="auto"/>
              <w:jc w:val="center"/>
              <w:rPr>
                <w:rFonts w:ascii="Times New Roman" w:eastAsia="Times New Roman" w:hAnsi="Times New Roman" w:cs="Times New Roman"/>
                <w:b/>
                <w:bCs/>
                <w:kern w:val="0"/>
                <w14:ligatures w14:val="none"/>
              </w:rPr>
            </w:pPr>
            <w:r w:rsidRPr="00A82204">
              <w:rPr>
                <w:rFonts w:ascii="Times New Roman" w:eastAsia="Times New Roman" w:hAnsi="Times New Roman" w:cs="Times New Roman"/>
                <w:b/>
                <w:bCs/>
                <w:kern w:val="0"/>
                <w14:ligatures w14:val="none"/>
              </w:rPr>
              <w:t>Ticker</w:t>
            </w:r>
          </w:p>
        </w:tc>
        <w:tc>
          <w:tcPr>
            <w:tcW w:w="0" w:type="auto"/>
            <w:vAlign w:val="center"/>
            <w:hideMark/>
          </w:tcPr>
          <w:p w14:paraId="48910FC3" w14:textId="77777777" w:rsidR="00A82204" w:rsidRPr="00A82204" w:rsidRDefault="00A82204" w:rsidP="00A82204">
            <w:pPr>
              <w:spacing w:after="0" w:line="240" w:lineRule="auto"/>
              <w:jc w:val="center"/>
              <w:rPr>
                <w:rFonts w:ascii="Times New Roman" w:eastAsia="Times New Roman" w:hAnsi="Times New Roman" w:cs="Times New Roman"/>
                <w:b/>
                <w:bCs/>
                <w:kern w:val="0"/>
                <w14:ligatures w14:val="none"/>
              </w:rPr>
            </w:pPr>
            <w:r w:rsidRPr="00A82204">
              <w:rPr>
                <w:rFonts w:ascii="Times New Roman" w:eastAsia="Times New Roman" w:hAnsi="Times New Roman" w:cs="Times New Roman"/>
                <w:b/>
                <w:bCs/>
                <w:kern w:val="0"/>
                <w14:ligatures w14:val="none"/>
              </w:rPr>
              <w:t>ETF Name</w:t>
            </w:r>
          </w:p>
        </w:tc>
        <w:tc>
          <w:tcPr>
            <w:tcW w:w="0" w:type="auto"/>
            <w:vAlign w:val="center"/>
            <w:hideMark/>
          </w:tcPr>
          <w:p w14:paraId="001696EB" w14:textId="77777777" w:rsidR="00A82204" w:rsidRPr="00A82204" w:rsidRDefault="00A82204" w:rsidP="00A82204">
            <w:pPr>
              <w:spacing w:after="0" w:line="240" w:lineRule="auto"/>
              <w:jc w:val="center"/>
              <w:rPr>
                <w:rFonts w:ascii="Times New Roman" w:eastAsia="Times New Roman" w:hAnsi="Times New Roman" w:cs="Times New Roman"/>
                <w:b/>
                <w:bCs/>
                <w:kern w:val="0"/>
                <w14:ligatures w14:val="none"/>
              </w:rPr>
            </w:pPr>
            <w:r w:rsidRPr="00A82204">
              <w:rPr>
                <w:rFonts w:ascii="Times New Roman" w:eastAsia="Times New Roman" w:hAnsi="Times New Roman" w:cs="Times New Roman"/>
                <w:b/>
                <w:bCs/>
                <w:kern w:val="0"/>
                <w14:ligatures w14:val="none"/>
              </w:rPr>
              <w:t>Asset Class</w:t>
            </w:r>
          </w:p>
        </w:tc>
        <w:tc>
          <w:tcPr>
            <w:tcW w:w="0" w:type="auto"/>
            <w:vAlign w:val="center"/>
            <w:hideMark/>
          </w:tcPr>
          <w:p w14:paraId="7DA85822" w14:textId="77777777" w:rsidR="00A82204" w:rsidRPr="00A82204" w:rsidRDefault="00A82204" w:rsidP="00A82204">
            <w:pPr>
              <w:spacing w:after="0" w:line="240" w:lineRule="auto"/>
              <w:jc w:val="center"/>
              <w:rPr>
                <w:rFonts w:ascii="Times New Roman" w:eastAsia="Times New Roman" w:hAnsi="Times New Roman" w:cs="Times New Roman"/>
                <w:b/>
                <w:bCs/>
                <w:kern w:val="0"/>
                <w14:ligatures w14:val="none"/>
              </w:rPr>
            </w:pPr>
            <w:r w:rsidRPr="00A82204">
              <w:rPr>
                <w:rFonts w:ascii="Times New Roman" w:eastAsia="Times New Roman" w:hAnsi="Times New Roman" w:cs="Times New Roman"/>
                <w:b/>
                <w:bCs/>
                <w:kern w:val="0"/>
                <w14:ligatures w14:val="none"/>
              </w:rPr>
              <w:t>Inception Date</w:t>
            </w:r>
          </w:p>
        </w:tc>
        <w:tc>
          <w:tcPr>
            <w:tcW w:w="0" w:type="auto"/>
            <w:vAlign w:val="center"/>
            <w:hideMark/>
          </w:tcPr>
          <w:p w14:paraId="3E4A1B58" w14:textId="77777777" w:rsidR="00A82204" w:rsidRPr="00A82204" w:rsidRDefault="00A82204" w:rsidP="00A82204">
            <w:pPr>
              <w:spacing w:after="0" w:line="240" w:lineRule="auto"/>
              <w:jc w:val="center"/>
              <w:rPr>
                <w:rFonts w:ascii="Times New Roman" w:eastAsia="Times New Roman" w:hAnsi="Times New Roman" w:cs="Times New Roman"/>
                <w:b/>
                <w:bCs/>
                <w:kern w:val="0"/>
                <w14:ligatures w14:val="none"/>
              </w:rPr>
            </w:pPr>
            <w:r w:rsidRPr="00A82204">
              <w:rPr>
                <w:rFonts w:ascii="Times New Roman" w:eastAsia="Times New Roman" w:hAnsi="Times New Roman" w:cs="Times New Roman"/>
                <w:b/>
                <w:bCs/>
                <w:kern w:val="0"/>
                <w14:ligatures w14:val="none"/>
              </w:rPr>
              <w:t>AUM ($</w:t>
            </w:r>
            <w:proofErr w:type="gramStart"/>
            <w:r w:rsidRPr="00A82204">
              <w:rPr>
                <w:rFonts w:ascii="Times New Roman" w:eastAsia="Times New Roman" w:hAnsi="Times New Roman" w:cs="Times New Roman"/>
                <w:b/>
                <w:bCs/>
                <w:kern w:val="0"/>
                <w14:ligatures w14:val="none"/>
              </w:rPr>
              <w:t>B)*</w:t>
            </w:r>
            <w:proofErr w:type="gramEnd"/>
          </w:p>
        </w:tc>
        <w:tc>
          <w:tcPr>
            <w:tcW w:w="0" w:type="auto"/>
            <w:vAlign w:val="center"/>
            <w:hideMark/>
          </w:tcPr>
          <w:p w14:paraId="3C07E459" w14:textId="77777777" w:rsidR="00A82204" w:rsidRPr="00A82204" w:rsidRDefault="00A82204" w:rsidP="00A82204">
            <w:pPr>
              <w:spacing w:after="0" w:line="240" w:lineRule="auto"/>
              <w:jc w:val="center"/>
              <w:rPr>
                <w:rFonts w:ascii="Times New Roman" w:eastAsia="Times New Roman" w:hAnsi="Times New Roman" w:cs="Times New Roman"/>
                <w:b/>
                <w:bCs/>
                <w:kern w:val="0"/>
                <w14:ligatures w14:val="none"/>
              </w:rPr>
            </w:pPr>
            <w:r w:rsidRPr="00A82204">
              <w:rPr>
                <w:rFonts w:ascii="Times New Roman" w:eastAsia="Times New Roman" w:hAnsi="Times New Roman" w:cs="Times New Roman"/>
                <w:b/>
                <w:bCs/>
                <w:kern w:val="0"/>
                <w14:ligatures w14:val="none"/>
              </w:rPr>
              <w:t>Expense Ratio</w:t>
            </w:r>
          </w:p>
        </w:tc>
        <w:tc>
          <w:tcPr>
            <w:tcW w:w="0" w:type="auto"/>
            <w:vAlign w:val="center"/>
            <w:hideMark/>
          </w:tcPr>
          <w:p w14:paraId="15CFFAF5" w14:textId="77777777" w:rsidR="00A82204" w:rsidRPr="00A82204" w:rsidRDefault="00A82204" w:rsidP="00A82204">
            <w:pPr>
              <w:spacing w:after="0" w:line="240" w:lineRule="auto"/>
              <w:jc w:val="center"/>
              <w:rPr>
                <w:rFonts w:ascii="Times New Roman" w:eastAsia="Times New Roman" w:hAnsi="Times New Roman" w:cs="Times New Roman"/>
                <w:b/>
                <w:bCs/>
                <w:kern w:val="0"/>
                <w14:ligatures w14:val="none"/>
              </w:rPr>
            </w:pPr>
            <w:r w:rsidRPr="00A82204">
              <w:rPr>
                <w:rFonts w:ascii="Times New Roman" w:eastAsia="Times New Roman" w:hAnsi="Times New Roman" w:cs="Times New Roman"/>
                <w:b/>
                <w:bCs/>
                <w:kern w:val="0"/>
                <w14:ligatures w14:val="none"/>
              </w:rPr>
              <w:t>Primary Exposure</w:t>
            </w:r>
          </w:p>
        </w:tc>
      </w:tr>
      <w:tr w:rsidR="00A82204" w:rsidRPr="00A82204" w14:paraId="37733FAF" w14:textId="77777777" w:rsidTr="00243CC9">
        <w:trPr>
          <w:tblCellSpacing w:w="15" w:type="dxa"/>
        </w:trPr>
        <w:tc>
          <w:tcPr>
            <w:tcW w:w="0" w:type="auto"/>
            <w:vAlign w:val="center"/>
          </w:tcPr>
          <w:p w14:paraId="063B6EDF" w14:textId="7B40DD1A" w:rsidR="00A82204" w:rsidRPr="00A82204" w:rsidRDefault="00A82204" w:rsidP="00A82204">
            <w:pPr>
              <w:spacing w:after="0" w:line="240" w:lineRule="auto"/>
              <w:rPr>
                <w:rFonts w:ascii="Times New Roman" w:eastAsia="Times New Roman" w:hAnsi="Times New Roman" w:cs="Times New Roman"/>
                <w:kern w:val="0"/>
                <w14:ligatures w14:val="none"/>
              </w:rPr>
            </w:pPr>
          </w:p>
        </w:tc>
        <w:tc>
          <w:tcPr>
            <w:tcW w:w="0" w:type="auto"/>
            <w:vAlign w:val="center"/>
          </w:tcPr>
          <w:p w14:paraId="31192785" w14:textId="1D204D44" w:rsidR="00A82204" w:rsidRPr="00A82204" w:rsidRDefault="00A82204" w:rsidP="00A82204">
            <w:pPr>
              <w:spacing w:after="0" w:line="240" w:lineRule="auto"/>
              <w:rPr>
                <w:rFonts w:ascii="Times New Roman" w:eastAsia="Times New Roman" w:hAnsi="Times New Roman" w:cs="Times New Roman"/>
                <w:kern w:val="0"/>
                <w14:ligatures w14:val="none"/>
              </w:rPr>
            </w:pPr>
          </w:p>
        </w:tc>
        <w:tc>
          <w:tcPr>
            <w:tcW w:w="0" w:type="auto"/>
            <w:vAlign w:val="center"/>
          </w:tcPr>
          <w:p w14:paraId="2D0DF03C" w14:textId="12DF572E" w:rsidR="00A82204" w:rsidRPr="00A82204" w:rsidRDefault="00A82204" w:rsidP="00A82204">
            <w:pPr>
              <w:spacing w:after="0" w:line="240" w:lineRule="auto"/>
              <w:rPr>
                <w:rFonts w:ascii="Times New Roman" w:eastAsia="Times New Roman" w:hAnsi="Times New Roman" w:cs="Times New Roman"/>
                <w:kern w:val="0"/>
                <w14:ligatures w14:val="none"/>
              </w:rPr>
            </w:pPr>
          </w:p>
        </w:tc>
        <w:tc>
          <w:tcPr>
            <w:tcW w:w="0" w:type="auto"/>
            <w:vAlign w:val="center"/>
          </w:tcPr>
          <w:p w14:paraId="0AC5FC40" w14:textId="331A4BEB" w:rsidR="00A82204" w:rsidRPr="00A82204" w:rsidRDefault="00A82204" w:rsidP="00A82204">
            <w:pPr>
              <w:spacing w:after="0" w:line="240" w:lineRule="auto"/>
              <w:rPr>
                <w:rFonts w:ascii="Times New Roman" w:eastAsia="Times New Roman" w:hAnsi="Times New Roman" w:cs="Times New Roman"/>
                <w:kern w:val="0"/>
                <w14:ligatures w14:val="none"/>
              </w:rPr>
            </w:pPr>
          </w:p>
        </w:tc>
        <w:tc>
          <w:tcPr>
            <w:tcW w:w="0" w:type="auto"/>
            <w:vAlign w:val="center"/>
          </w:tcPr>
          <w:p w14:paraId="686ADD8B" w14:textId="1F058DB6" w:rsidR="00A82204" w:rsidRPr="00A82204" w:rsidRDefault="00A82204" w:rsidP="00A82204">
            <w:pPr>
              <w:spacing w:after="0" w:line="240" w:lineRule="auto"/>
              <w:rPr>
                <w:rFonts w:ascii="Times New Roman" w:eastAsia="Times New Roman" w:hAnsi="Times New Roman" w:cs="Times New Roman"/>
                <w:kern w:val="0"/>
                <w14:ligatures w14:val="none"/>
              </w:rPr>
            </w:pPr>
          </w:p>
        </w:tc>
        <w:tc>
          <w:tcPr>
            <w:tcW w:w="0" w:type="auto"/>
            <w:vAlign w:val="center"/>
          </w:tcPr>
          <w:p w14:paraId="66C20379" w14:textId="76A47ABD" w:rsidR="00A82204" w:rsidRPr="00A82204" w:rsidRDefault="00A82204" w:rsidP="00A82204">
            <w:pPr>
              <w:spacing w:after="0" w:line="240" w:lineRule="auto"/>
              <w:rPr>
                <w:rFonts w:ascii="Times New Roman" w:eastAsia="Times New Roman" w:hAnsi="Times New Roman" w:cs="Times New Roman"/>
                <w:kern w:val="0"/>
                <w14:ligatures w14:val="none"/>
              </w:rPr>
            </w:pPr>
          </w:p>
        </w:tc>
        <w:tc>
          <w:tcPr>
            <w:tcW w:w="0" w:type="auto"/>
            <w:vAlign w:val="center"/>
          </w:tcPr>
          <w:p w14:paraId="3C0C1AF7" w14:textId="65472D5F" w:rsidR="00A82204" w:rsidRPr="00A82204" w:rsidRDefault="00A82204" w:rsidP="00A82204">
            <w:pPr>
              <w:spacing w:after="0" w:line="240" w:lineRule="auto"/>
              <w:rPr>
                <w:rFonts w:ascii="Times New Roman" w:eastAsia="Times New Roman" w:hAnsi="Times New Roman" w:cs="Times New Roman"/>
                <w:kern w:val="0"/>
                <w14:ligatures w14:val="none"/>
              </w:rPr>
            </w:pPr>
          </w:p>
        </w:tc>
      </w:tr>
      <w:tr w:rsidR="00A82204" w:rsidRPr="00A82204" w14:paraId="4386B21B" w14:textId="77777777">
        <w:trPr>
          <w:tblCellSpacing w:w="15" w:type="dxa"/>
        </w:trPr>
        <w:tc>
          <w:tcPr>
            <w:tcW w:w="0" w:type="auto"/>
            <w:vAlign w:val="center"/>
            <w:hideMark/>
          </w:tcPr>
          <w:p w14:paraId="5B5F0120"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GLD</w:t>
            </w:r>
          </w:p>
        </w:tc>
        <w:tc>
          <w:tcPr>
            <w:tcW w:w="0" w:type="auto"/>
            <w:vAlign w:val="center"/>
            <w:hideMark/>
          </w:tcPr>
          <w:p w14:paraId="66BB1FAF"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SPDR Gold Trust</w:t>
            </w:r>
          </w:p>
        </w:tc>
        <w:tc>
          <w:tcPr>
            <w:tcW w:w="0" w:type="auto"/>
            <w:vAlign w:val="center"/>
            <w:hideMark/>
          </w:tcPr>
          <w:p w14:paraId="33BB6E77"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Commodities</w:t>
            </w:r>
          </w:p>
        </w:tc>
        <w:tc>
          <w:tcPr>
            <w:tcW w:w="0" w:type="auto"/>
            <w:vAlign w:val="center"/>
            <w:hideMark/>
          </w:tcPr>
          <w:p w14:paraId="3889A8AB"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2004-11-18</w:t>
            </w:r>
          </w:p>
        </w:tc>
        <w:tc>
          <w:tcPr>
            <w:tcW w:w="0" w:type="auto"/>
            <w:vAlign w:val="center"/>
            <w:hideMark/>
          </w:tcPr>
          <w:p w14:paraId="14186F02"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$56.8</w:t>
            </w:r>
          </w:p>
        </w:tc>
        <w:tc>
          <w:tcPr>
            <w:tcW w:w="0" w:type="auto"/>
            <w:vAlign w:val="center"/>
            <w:hideMark/>
          </w:tcPr>
          <w:p w14:paraId="08674CC3"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0.40%</w:t>
            </w:r>
          </w:p>
        </w:tc>
        <w:tc>
          <w:tcPr>
            <w:tcW w:w="0" w:type="auto"/>
            <w:vAlign w:val="center"/>
            <w:hideMark/>
          </w:tcPr>
          <w:p w14:paraId="7DF88EA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Gold Bullion</w:t>
            </w:r>
          </w:p>
        </w:tc>
      </w:tr>
      <w:tr w:rsidR="00A82204" w:rsidRPr="00A82204" w14:paraId="15AE8D90" w14:textId="77777777">
        <w:trPr>
          <w:tblCellSpacing w:w="15" w:type="dxa"/>
        </w:trPr>
        <w:tc>
          <w:tcPr>
            <w:tcW w:w="0" w:type="auto"/>
            <w:vAlign w:val="center"/>
            <w:hideMark/>
          </w:tcPr>
          <w:p w14:paraId="216B8A41"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XLK</w:t>
            </w:r>
          </w:p>
        </w:tc>
        <w:tc>
          <w:tcPr>
            <w:tcW w:w="0" w:type="auto"/>
            <w:vAlign w:val="center"/>
            <w:hideMark/>
          </w:tcPr>
          <w:p w14:paraId="35A3AE4A"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Technology Select Sector</w:t>
            </w:r>
          </w:p>
        </w:tc>
        <w:tc>
          <w:tcPr>
            <w:tcW w:w="0" w:type="auto"/>
            <w:vAlign w:val="center"/>
            <w:hideMark/>
          </w:tcPr>
          <w:p w14:paraId="63621C15"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US Equity Sector</w:t>
            </w:r>
          </w:p>
        </w:tc>
        <w:tc>
          <w:tcPr>
            <w:tcW w:w="0" w:type="auto"/>
            <w:vAlign w:val="center"/>
            <w:hideMark/>
          </w:tcPr>
          <w:p w14:paraId="45DC2B3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1998-12-16</w:t>
            </w:r>
          </w:p>
        </w:tc>
        <w:tc>
          <w:tcPr>
            <w:tcW w:w="0" w:type="auto"/>
            <w:vAlign w:val="center"/>
            <w:hideMark/>
          </w:tcPr>
          <w:p w14:paraId="2A73CCA8"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$51.2</w:t>
            </w:r>
          </w:p>
        </w:tc>
        <w:tc>
          <w:tcPr>
            <w:tcW w:w="0" w:type="auto"/>
            <w:vAlign w:val="center"/>
            <w:hideMark/>
          </w:tcPr>
          <w:p w14:paraId="377F086C"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0.10%</w:t>
            </w:r>
          </w:p>
        </w:tc>
        <w:tc>
          <w:tcPr>
            <w:tcW w:w="0" w:type="auto"/>
            <w:vAlign w:val="center"/>
            <w:hideMark/>
          </w:tcPr>
          <w:p w14:paraId="1F72E457"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Technology Sector</w:t>
            </w:r>
          </w:p>
        </w:tc>
      </w:tr>
      <w:tr w:rsidR="00A82204" w:rsidRPr="00A82204" w14:paraId="4BC2F406" w14:textId="77777777">
        <w:trPr>
          <w:tblCellSpacing w:w="15" w:type="dxa"/>
        </w:trPr>
        <w:tc>
          <w:tcPr>
            <w:tcW w:w="0" w:type="auto"/>
            <w:vAlign w:val="center"/>
            <w:hideMark/>
          </w:tcPr>
          <w:p w14:paraId="64798A61"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IWM</w:t>
            </w:r>
          </w:p>
        </w:tc>
        <w:tc>
          <w:tcPr>
            <w:tcW w:w="0" w:type="auto"/>
            <w:vAlign w:val="center"/>
            <w:hideMark/>
          </w:tcPr>
          <w:p w14:paraId="25BE8681"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iShares Russell 2000</w:t>
            </w:r>
          </w:p>
        </w:tc>
        <w:tc>
          <w:tcPr>
            <w:tcW w:w="0" w:type="auto"/>
            <w:vAlign w:val="center"/>
            <w:hideMark/>
          </w:tcPr>
          <w:p w14:paraId="193ABF7C"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US Equity</w:t>
            </w:r>
          </w:p>
        </w:tc>
        <w:tc>
          <w:tcPr>
            <w:tcW w:w="0" w:type="auto"/>
            <w:vAlign w:val="center"/>
            <w:hideMark/>
          </w:tcPr>
          <w:p w14:paraId="7DD0A97F"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2000-05-22</w:t>
            </w:r>
          </w:p>
        </w:tc>
        <w:tc>
          <w:tcPr>
            <w:tcW w:w="0" w:type="auto"/>
            <w:vAlign w:val="center"/>
            <w:hideMark/>
          </w:tcPr>
          <w:p w14:paraId="490368D8"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$62.4</w:t>
            </w:r>
          </w:p>
        </w:tc>
        <w:tc>
          <w:tcPr>
            <w:tcW w:w="0" w:type="auto"/>
            <w:vAlign w:val="center"/>
            <w:hideMark/>
          </w:tcPr>
          <w:p w14:paraId="22D9FC1D"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0.19%</w:t>
            </w:r>
          </w:p>
        </w:tc>
        <w:tc>
          <w:tcPr>
            <w:tcW w:w="0" w:type="auto"/>
            <w:vAlign w:val="center"/>
            <w:hideMark/>
          </w:tcPr>
          <w:p w14:paraId="1FA9AF9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Small-Cap Equity</w:t>
            </w:r>
          </w:p>
        </w:tc>
      </w:tr>
      <w:tr w:rsidR="00A82204" w:rsidRPr="00A82204" w14:paraId="2B04EFE6" w14:textId="77777777">
        <w:trPr>
          <w:tblCellSpacing w:w="15" w:type="dxa"/>
        </w:trPr>
        <w:tc>
          <w:tcPr>
            <w:tcW w:w="0" w:type="auto"/>
            <w:vAlign w:val="center"/>
            <w:hideMark/>
          </w:tcPr>
          <w:p w14:paraId="111869CB"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EFA</w:t>
            </w:r>
          </w:p>
        </w:tc>
        <w:tc>
          <w:tcPr>
            <w:tcW w:w="0" w:type="auto"/>
            <w:vAlign w:val="center"/>
            <w:hideMark/>
          </w:tcPr>
          <w:p w14:paraId="709F3B87"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iShares MSCI EAFE</w:t>
            </w:r>
          </w:p>
        </w:tc>
        <w:tc>
          <w:tcPr>
            <w:tcW w:w="0" w:type="auto"/>
            <w:vAlign w:val="center"/>
            <w:hideMark/>
          </w:tcPr>
          <w:p w14:paraId="27BB9F62"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International Equity</w:t>
            </w:r>
          </w:p>
        </w:tc>
        <w:tc>
          <w:tcPr>
            <w:tcW w:w="0" w:type="auto"/>
            <w:vAlign w:val="center"/>
            <w:hideMark/>
          </w:tcPr>
          <w:p w14:paraId="63DE374F"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2001-08-14</w:t>
            </w:r>
          </w:p>
        </w:tc>
        <w:tc>
          <w:tcPr>
            <w:tcW w:w="0" w:type="auto"/>
            <w:vAlign w:val="center"/>
            <w:hideMark/>
          </w:tcPr>
          <w:p w14:paraId="5EFCC131"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$85.1</w:t>
            </w:r>
          </w:p>
        </w:tc>
        <w:tc>
          <w:tcPr>
            <w:tcW w:w="0" w:type="auto"/>
            <w:vAlign w:val="center"/>
            <w:hideMark/>
          </w:tcPr>
          <w:p w14:paraId="218C596F"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0.32%</w:t>
            </w:r>
          </w:p>
        </w:tc>
        <w:tc>
          <w:tcPr>
            <w:tcW w:w="0" w:type="auto"/>
            <w:vAlign w:val="center"/>
            <w:hideMark/>
          </w:tcPr>
          <w:p w14:paraId="204FA8A1"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Developed International</w:t>
            </w:r>
          </w:p>
        </w:tc>
      </w:tr>
      <w:tr w:rsidR="00A82204" w:rsidRPr="00A82204" w14:paraId="107D8BE5" w14:textId="77777777">
        <w:trPr>
          <w:tblCellSpacing w:w="15" w:type="dxa"/>
        </w:trPr>
        <w:tc>
          <w:tcPr>
            <w:tcW w:w="0" w:type="auto"/>
            <w:vAlign w:val="center"/>
            <w:hideMark/>
          </w:tcPr>
          <w:p w14:paraId="77740200"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XLF</w:t>
            </w:r>
          </w:p>
        </w:tc>
        <w:tc>
          <w:tcPr>
            <w:tcW w:w="0" w:type="auto"/>
            <w:vAlign w:val="center"/>
            <w:hideMark/>
          </w:tcPr>
          <w:p w14:paraId="387DA3BA"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Financial Select Sector</w:t>
            </w:r>
          </w:p>
        </w:tc>
        <w:tc>
          <w:tcPr>
            <w:tcW w:w="0" w:type="auto"/>
            <w:vAlign w:val="center"/>
            <w:hideMark/>
          </w:tcPr>
          <w:p w14:paraId="46FED56F"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US Equity Sector</w:t>
            </w:r>
          </w:p>
        </w:tc>
        <w:tc>
          <w:tcPr>
            <w:tcW w:w="0" w:type="auto"/>
            <w:vAlign w:val="center"/>
            <w:hideMark/>
          </w:tcPr>
          <w:p w14:paraId="394EEC60"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1998-12-16</w:t>
            </w:r>
          </w:p>
        </w:tc>
        <w:tc>
          <w:tcPr>
            <w:tcW w:w="0" w:type="auto"/>
            <w:vAlign w:val="center"/>
            <w:hideMark/>
          </w:tcPr>
          <w:p w14:paraId="23CEEBA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$40.2</w:t>
            </w:r>
          </w:p>
        </w:tc>
        <w:tc>
          <w:tcPr>
            <w:tcW w:w="0" w:type="auto"/>
            <w:vAlign w:val="center"/>
            <w:hideMark/>
          </w:tcPr>
          <w:p w14:paraId="54342CA7"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0.10%</w:t>
            </w:r>
          </w:p>
        </w:tc>
        <w:tc>
          <w:tcPr>
            <w:tcW w:w="0" w:type="auto"/>
            <w:vAlign w:val="center"/>
            <w:hideMark/>
          </w:tcPr>
          <w:p w14:paraId="70A1F694"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Financial Sector</w:t>
            </w:r>
          </w:p>
        </w:tc>
      </w:tr>
      <w:tr w:rsidR="00A82204" w:rsidRPr="00A82204" w14:paraId="53F42598" w14:textId="77777777">
        <w:trPr>
          <w:tblCellSpacing w:w="15" w:type="dxa"/>
        </w:trPr>
        <w:tc>
          <w:tcPr>
            <w:tcW w:w="0" w:type="auto"/>
            <w:vAlign w:val="center"/>
            <w:hideMark/>
          </w:tcPr>
          <w:p w14:paraId="3B6C9AE5"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TLT</w:t>
            </w:r>
          </w:p>
        </w:tc>
        <w:tc>
          <w:tcPr>
            <w:tcW w:w="0" w:type="auto"/>
            <w:vAlign w:val="center"/>
            <w:hideMark/>
          </w:tcPr>
          <w:p w14:paraId="507F20B4"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iShares 20+ Year Treasury</w:t>
            </w:r>
          </w:p>
        </w:tc>
        <w:tc>
          <w:tcPr>
            <w:tcW w:w="0" w:type="auto"/>
            <w:vAlign w:val="center"/>
            <w:hideMark/>
          </w:tcPr>
          <w:p w14:paraId="3816673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Fixed Income</w:t>
            </w:r>
          </w:p>
        </w:tc>
        <w:tc>
          <w:tcPr>
            <w:tcW w:w="0" w:type="auto"/>
            <w:vAlign w:val="center"/>
            <w:hideMark/>
          </w:tcPr>
          <w:p w14:paraId="4E8384CC"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2002-07-22</w:t>
            </w:r>
          </w:p>
        </w:tc>
        <w:tc>
          <w:tcPr>
            <w:tcW w:w="0" w:type="auto"/>
            <w:vAlign w:val="center"/>
            <w:hideMark/>
          </w:tcPr>
          <w:p w14:paraId="268A66B2"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$24.8</w:t>
            </w:r>
          </w:p>
        </w:tc>
        <w:tc>
          <w:tcPr>
            <w:tcW w:w="0" w:type="auto"/>
            <w:vAlign w:val="center"/>
            <w:hideMark/>
          </w:tcPr>
          <w:p w14:paraId="26927350"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0.15%</w:t>
            </w:r>
          </w:p>
        </w:tc>
        <w:tc>
          <w:tcPr>
            <w:tcW w:w="0" w:type="auto"/>
            <w:vAlign w:val="center"/>
            <w:hideMark/>
          </w:tcPr>
          <w:p w14:paraId="5B5E83D3"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Long-Term Treasuries</w:t>
            </w:r>
          </w:p>
        </w:tc>
      </w:tr>
      <w:tr w:rsidR="00A82204" w:rsidRPr="00A82204" w14:paraId="4DBC0AEB" w14:textId="77777777">
        <w:trPr>
          <w:tblCellSpacing w:w="15" w:type="dxa"/>
        </w:trPr>
        <w:tc>
          <w:tcPr>
            <w:tcW w:w="0" w:type="auto"/>
            <w:vAlign w:val="center"/>
            <w:hideMark/>
          </w:tcPr>
          <w:p w14:paraId="5853204B"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DIA</w:t>
            </w:r>
          </w:p>
        </w:tc>
        <w:tc>
          <w:tcPr>
            <w:tcW w:w="0" w:type="auto"/>
            <w:vAlign w:val="center"/>
            <w:hideMark/>
          </w:tcPr>
          <w:p w14:paraId="080AC28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SPDR Dow Jones Industrial</w:t>
            </w:r>
          </w:p>
        </w:tc>
        <w:tc>
          <w:tcPr>
            <w:tcW w:w="0" w:type="auto"/>
            <w:vAlign w:val="center"/>
            <w:hideMark/>
          </w:tcPr>
          <w:p w14:paraId="1FD664E1"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US Equity</w:t>
            </w:r>
          </w:p>
        </w:tc>
        <w:tc>
          <w:tcPr>
            <w:tcW w:w="0" w:type="auto"/>
            <w:vAlign w:val="center"/>
            <w:hideMark/>
          </w:tcPr>
          <w:p w14:paraId="7EE8D46A"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1998-01-20</w:t>
            </w:r>
          </w:p>
        </w:tc>
        <w:tc>
          <w:tcPr>
            <w:tcW w:w="0" w:type="auto"/>
            <w:vAlign w:val="center"/>
            <w:hideMark/>
          </w:tcPr>
          <w:p w14:paraId="4529EE0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$31.4</w:t>
            </w:r>
          </w:p>
        </w:tc>
        <w:tc>
          <w:tcPr>
            <w:tcW w:w="0" w:type="auto"/>
            <w:vAlign w:val="center"/>
            <w:hideMark/>
          </w:tcPr>
          <w:p w14:paraId="749E5930"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0.16%</w:t>
            </w:r>
          </w:p>
        </w:tc>
        <w:tc>
          <w:tcPr>
            <w:tcW w:w="0" w:type="auto"/>
            <w:vAlign w:val="center"/>
            <w:hideMark/>
          </w:tcPr>
          <w:p w14:paraId="79D078ED"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Dow Jones Industrial</w:t>
            </w:r>
          </w:p>
        </w:tc>
      </w:tr>
      <w:tr w:rsidR="00A82204" w:rsidRPr="00A82204" w14:paraId="707ECC0B" w14:textId="77777777">
        <w:trPr>
          <w:tblCellSpacing w:w="15" w:type="dxa"/>
        </w:trPr>
        <w:tc>
          <w:tcPr>
            <w:tcW w:w="0" w:type="auto"/>
            <w:vAlign w:val="center"/>
            <w:hideMark/>
          </w:tcPr>
          <w:p w14:paraId="41FBA5B9"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IEF</w:t>
            </w:r>
          </w:p>
        </w:tc>
        <w:tc>
          <w:tcPr>
            <w:tcW w:w="0" w:type="auto"/>
            <w:vAlign w:val="center"/>
            <w:hideMark/>
          </w:tcPr>
          <w:p w14:paraId="6E118791"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iShares 7-10 Year Treasury</w:t>
            </w:r>
          </w:p>
        </w:tc>
        <w:tc>
          <w:tcPr>
            <w:tcW w:w="0" w:type="auto"/>
            <w:vAlign w:val="center"/>
            <w:hideMark/>
          </w:tcPr>
          <w:p w14:paraId="318AABF4"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Fixed Income</w:t>
            </w:r>
          </w:p>
        </w:tc>
        <w:tc>
          <w:tcPr>
            <w:tcW w:w="0" w:type="auto"/>
            <w:vAlign w:val="center"/>
            <w:hideMark/>
          </w:tcPr>
          <w:p w14:paraId="2FF3873C"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2002-07-22</w:t>
            </w:r>
          </w:p>
        </w:tc>
        <w:tc>
          <w:tcPr>
            <w:tcW w:w="0" w:type="auto"/>
            <w:vAlign w:val="center"/>
            <w:hideMark/>
          </w:tcPr>
          <w:p w14:paraId="2C97C93D"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$16.9</w:t>
            </w:r>
          </w:p>
        </w:tc>
        <w:tc>
          <w:tcPr>
            <w:tcW w:w="0" w:type="auto"/>
            <w:vAlign w:val="center"/>
            <w:hideMark/>
          </w:tcPr>
          <w:p w14:paraId="560FE4BA"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0.15%</w:t>
            </w:r>
          </w:p>
        </w:tc>
        <w:tc>
          <w:tcPr>
            <w:tcW w:w="0" w:type="auto"/>
            <w:vAlign w:val="center"/>
            <w:hideMark/>
          </w:tcPr>
          <w:p w14:paraId="3AC69CEC"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Intermediate Treasuries</w:t>
            </w:r>
          </w:p>
        </w:tc>
      </w:tr>
      <w:tr w:rsidR="00A82204" w:rsidRPr="00A82204" w14:paraId="47050F5B" w14:textId="77777777">
        <w:trPr>
          <w:tblCellSpacing w:w="15" w:type="dxa"/>
        </w:trPr>
        <w:tc>
          <w:tcPr>
            <w:tcW w:w="0" w:type="auto"/>
            <w:vAlign w:val="center"/>
            <w:hideMark/>
          </w:tcPr>
          <w:p w14:paraId="4B66B8AF"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LQD</w:t>
            </w:r>
          </w:p>
        </w:tc>
        <w:tc>
          <w:tcPr>
            <w:tcW w:w="0" w:type="auto"/>
            <w:vAlign w:val="center"/>
            <w:hideMark/>
          </w:tcPr>
          <w:p w14:paraId="3EC7E0A0"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 xml:space="preserve">iShares </w:t>
            </w:r>
            <w:proofErr w:type="spellStart"/>
            <w:r w:rsidRPr="00A82204">
              <w:rPr>
                <w:rFonts w:ascii="Times New Roman" w:eastAsia="Times New Roman" w:hAnsi="Times New Roman" w:cs="Times New Roman"/>
                <w:kern w:val="0"/>
                <w14:ligatures w14:val="none"/>
              </w:rPr>
              <w:t>iBoxx</w:t>
            </w:r>
            <w:proofErr w:type="spellEnd"/>
            <w:r w:rsidRPr="00A82204">
              <w:rPr>
                <w:rFonts w:ascii="Times New Roman" w:eastAsia="Times New Roman" w:hAnsi="Times New Roman" w:cs="Times New Roman"/>
                <w:kern w:val="0"/>
                <w14:ligatures w14:val="none"/>
              </w:rPr>
              <w:t xml:space="preserve"> Investment Grade</w:t>
            </w:r>
          </w:p>
        </w:tc>
        <w:tc>
          <w:tcPr>
            <w:tcW w:w="0" w:type="auto"/>
            <w:vAlign w:val="center"/>
            <w:hideMark/>
          </w:tcPr>
          <w:p w14:paraId="150125C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Fixed Income</w:t>
            </w:r>
          </w:p>
        </w:tc>
        <w:tc>
          <w:tcPr>
            <w:tcW w:w="0" w:type="auto"/>
            <w:vAlign w:val="center"/>
            <w:hideMark/>
          </w:tcPr>
          <w:p w14:paraId="681414D8"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2002-07-22</w:t>
            </w:r>
          </w:p>
        </w:tc>
        <w:tc>
          <w:tcPr>
            <w:tcW w:w="0" w:type="auto"/>
            <w:vAlign w:val="center"/>
            <w:hideMark/>
          </w:tcPr>
          <w:p w14:paraId="65708778"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$34.2</w:t>
            </w:r>
          </w:p>
        </w:tc>
        <w:tc>
          <w:tcPr>
            <w:tcW w:w="0" w:type="auto"/>
            <w:vAlign w:val="center"/>
            <w:hideMark/>
          </w:tcPr>
          <w:p w14:paraId="290A011A"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0.14%</w:t>
            </w:r>
          </w:p>
        </w:tc>
        <w:tc>
          <w:tcPr>
            <w:tcW w:w="0" w:type="auto"/>
            <w:vAlign w:val="center"/>
            <w:hideMark/>
          </w:tcPr>
          <w:p w14:paraId="7FD91B9B"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Investment Grade Corporate</w:t>
            </w:r>
          </w:p>
        </w:tc>
      </w:tr>
      <w:tr w:rsidR="00A82204" w:rsidRPr="00A82204" w14:paraId="3B24F8F7" w14:textId="77777777">
        <w:trPr>
          <w:tblCellSpacing w:w="15" w:type="dxa"/>
        </w:trPr>
        <w:tc>
          <w:tcPr>
            <w:tcW w:w="0" w:type="auto"/>
            <w:vAlign w:val="center"/>
            <w:hideMark/>
          </w:tcPr>
          <w:p w14:paraId="282AEE40"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XLE</w:t>
            </w:r>
          </w:p>
        </w:tc>
        <w:tc>
          <w:tcPr>
            <w:tcW w:w="0" w:type="auto"/>
            <w:vAlign w:val="center"/>
            <w:hideMark/>
          </w:tcPr>
          <w:p w14:paraId="1202DF13"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Energy Select Sector</w:t>
            </w:r>
          </w:p>
        </w:tc>
        <w:tc>
          <w:tcPr>
            <w:tcW w:w="0" w:type="auto"/>
            <w:vAlign w:val="center"/>
            <w:hideMark/>
          </w:tcPr>
          <w:p w14:paraId="13349CD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US Equity Sector</w:t>
            </w:r>
          </w:p>
        </w:tc>
        <w:tc>
          <w:tcPr>
            <w:tcW w:w="0" w:type="auto"/>
            <w:vAlign w:val="center"/>
            <w:hideMark/>
          </w:tcPr>
          <w:p w14:paraId="6472B6A1"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1998-12-16</w:t>
            </w:r>
          </w:p>
        </w:tc>
        <w:tc>
          <w:tcPr>
            <w:tcW w:w="0" w:type="auto"/>
            <w:vAlign w:val="center"/>
            <w:hideMark/>
          </w:tcPr>
          <w:p w14:paraId="1FD5315B"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$28.7</w:t>
            </w:r>
          </w:p>
        </w:tc>
        <w:tc>
          <w:tcPr>
            <w:tcW w:w="0" w:type="auto"/>
            <w:vAlign w:val="center"/>
            <w:hideMark/>
          </w:tcPr>
          <w:p w14:paraId="50D334F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0.10%</w:t>
            </w:r>
          </w:p>
        </w:tc>
        <w:tc>
          <w:tcPr>
            <w:tcW w:w="0" w:type="auto"/>
            <w:vAlign w:val="center"/>
            <w:hideMark/>
          </w:tcPr>
          <w:p w14:paraId="51A4D24F"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Energy Sector</w:t>
            </w:r>
          </w:p>
        </w:tc>
      </w:tr>
      <w:tr w:rsidR="00A82204" w:rsidRPr="00A82204" w14:paraId="240BEB76" w14:textId="77777777">
        <w:trPr>
          <w:tblCellSpacing w:w="15" w:type="dxa"/>
        </w:trPr>
        <w:tc>
          <w:tcPr>
            <w:tcW w:w="0" w:type="auto"/>
            <w:vAlign w:val="center"/>
            <w:hideMark/>
          </w:tcPr>
          <w:p w14:paraId="146FF486"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XLY</w:t>
            </w:r>
          </w:p>
        </w:tc>
        <w:tc>
          <w:tcPr>
            <w:tcW w:w="0" w:type="auto"/>
            <w:vAlign w:val="center"/>
            <w:hideMark/>
          </w:tcPr>
          <w:p w14:paraId="26047586"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Consumer Discretionary Select</w:t>
            </w:r>
          </w:p>
        </w:tc>
        <w:tc>
          <w:tcPr>
            <w:tcW w:w="0" w:type="auto"/>
            <w:vAlign w:val="center"/>
            <w:hideMark/>
          </w:tcPr>
          <w:p w14:paraId="141D5C0A"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US Equity Sector</w:t>
            </w:r>
          </w:p>
        </w:tc>
        <w:tc>
          <w:tcPr>
            <w:tcW w:w="0" w:type="auto"/>
            <w:vAlign w:val="center"/>
            <w:hideMark/>
          </w:tcPr>
          <w:p w14:paraId="4560B49D"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1998-12-16</w:t>
            </w:r>
          </w:p>
        </w:tc>
        <w:tc>
          <w:tcPr>
            <w:tcW w:w="0" w:type="auto"/>
            <w:vAlign w:val="center"/>
            <w:hideMark/>
          </w:tcPr>
          <w:p w14:paraId="29FDC1BB"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$19.6</w:t>
            </w:r>
          </w:p>
        </w:tc>
        <w:tc>
          <w:tcPr>
            <w:tcW w:w="0" w:type="auto"/>
            <w:vAlign w:val="center"/>
            <w:hideMark/>
          </w:tcPr>
          <w:p w14:paraId="06FDDC7B"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0.10%</w:t>
            </w:r>
          </w:p>
        </w:tc>
        <w:tc>
          <w:tcPr>
            <w:tcW w:w="0" w:type="auto"/>
            <w:vAlign w:val="center"/>
            <w:hideMark/>
          </w:tcPr>
          <w:p w14:paraId="54002157"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Consumer Discretionary</w:t>
            </w:r>
          </w:p>
        </w:tc>
      </w:tr>
      <w:tr w:rsidR="00A82204" w:rsidRPr="00A82204" w14:paraId="71DD1079" w14:textId="77777777">
        <w:trPr>
          <w:tblCellSpacing w:w="15" w:type="dxa"/>
        </w:trPr>
        <w:tc>
          <w:tcPr>
            <w:tcW w:w="0" w:type="auto"/>
            <w:vAlign w:val="center"/>
            <w:hideMark/>
          </w:tcPr>
          <w:p w14:paraId="7854D412"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XLI</w:t>
            </w:r>
          </w:p>
        </w:tc>
        <w:tc>
          <w:tcPr>
            <w:tcW w:w="0" w:type="auto"/>
            <w:vAlign w:val="center"/>
            <w:hideMark/>
          </w:tcPr>
          <w:p w14:paraId="6958BE4F"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Industrial Select Sector</w:t>
            </w:r>
          </w:p>
        </w:tc>
        <w:tc>
          <w:tcPr>
            <w:tcW w:w="0" w:type="auto"/>
            <w:vAlign w:val="center"/>
            <w:hideMark/>
          </w:tcPr>
          <w:p w14:paraId="0C89BBA3"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US Equity Sector</w:t>
            </w:r>
          </w:p>
        </w:tc>
        <w:tc>
          <w:tcPr>
            <w:tcW w:w="0" w:type="auto"/>
            <w:vAlign w:val="center"/>
            <w:hideMark/>
          </w:tcPr>
          <w:p w14:paraId="1AF01503"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1998-12-16</w:t>
            </w:r>
          </w:p>
        </w:tc>
        <w:tc>
          <w:tcPr>
            <w:tcW w:w="0" w:type="auto"/>
            <w:vAlign w:val="center"/>
            <w:hideMark/>
          </w:tcPr>
          <w:p w14:paraId="0762E1CB"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$16.8</w:t>
            </w:r>
          </w:p>
        </w:tc>
        <w:tc>
          <w:tcPr>
            <w:tcW w:w="0" w:type="auto"/>
            <w:vAlign w:val="center"/>
            <w:hideMark/>
          </w:tcPr>
          <w:p w14:paraId="777CEA15"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0.10%</w:t>
            </w:r>
          </w:p>
        </w:tc>
        <w:tc>
          <w:tcPr>
            <w:tcW w:w="0" w:type="auto"/>
            <w:vAlign w:val="center"/>
            <w:hideMark/>
          </w:tcPr>
          <w:p w14:paraId="0E2D1075"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Industrial Sector</w:t>
            </w:r>
          </w:p>
        </w:tc>
      </w:tr>
      <w:tr w:rsidR="00A82204" w:rsidRPr="00A82204" w14:paraId="5136D118" w14:textId="77777777">
        <w:trPr>
          <w:tblCellSpacing w:w="15" w:type="dxa"/>
        </w:trPr>
        <w:tc>
          <w:tcPr>
            <w:tcW w:w="0" w:type="auto"/>
            <w:vAlign w:val="center"/>
            <w:hideMark/>
          </w:tcPr>
          <w:p w14:paraId="48CDE618"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XLU</w:t>
            </w:r>
          </w:p>
        </w:tc>
        <w:tc>
          <w:tcPr>
            <w:tcW w:w="0" w:type="auto"/>
            <w:vAlign w:val="center"/>
            <w:hideMark/>
          </w:tcPr>
          <w:p w14:paraId="1E011564"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Utilities Select Sector</w:t>
            </w:r>
          </w:p>
        </w:tc>
        <w:tc>
          <w:tcPr>
            <w:tcW w:w="0" w:type="auto"/>
            <w:vAlign w:val="center"/>
            <w:hideMark/>
          </w:tcPr>
          <w:p w14:paraId="2A9E5BAC"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US Equity Sector</w:t>
            </w:r>
          </w:p>
        </w:tc>
        <w:tc>
          <w:tcPr>
            <w:tcW w:w="0" w:type="auto"/>
            <w:vAlign w:val="center"/>
            <w:hideMark/>
          </w:tcPr>
          <w:p w14:paraId="182F8DC2"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1998-12-16</w:t>
            </w:r>
          </w:p>
        </w:tc>
        <w:tc>
          <w:tcPr>
            <w:tcW w:w="0" w:type="auto"/>
            <w:vAlign w:val="center"/>
            <w:hideMark/>
          </w:tcPr>
          <w:p w14:paraId="735E0EC2"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$15.2</w:t>
            </w:r>
          </w:p>
        </w:tc>
        <w:tc>
          <w:tcPr>
            <w:tcW w:w="0" w:type="auto"/>
            <w:vAlign w:val="center"/>
            <w:hideMark/>
          </w:tcPr>
          <w:p w14:paraId="7A692D05"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0.10%</w:t>
            </w:r>
          </w:p>
        </w:tc>
        <w:tc>
          <w:tcPr>
            <w:tcW w:w="0" w:type="auto"/>
            <w:vAlign w:val="center"/>
            <w:hideMark/>
          </w:tcPr>
          <w:p w14:paraId="2FF12575"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Utilities Sector</w:t>
            </w:r>
          </w:p>
        </w:tc>
      </w:tr>
      <w:tr w:rsidR="00A82204" w:rsidRPr="00A82204" w14:paraId="0A8D00D6" w14:textId="77777777">
        <w:trPr>
          <w:tblCellSpacing w:w="15" w:type="dxa"/>
        </w:trPr>
        <w:tc>
          <w:tcPr>
            <w:tcW w:w="0" w:type="auto"/>
            <w:vAlign w:val="center"/>
            <w:hideMark/>
          </w:tcPr>
          <w:p w14:paraId="3F006C85"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EEM</w:t>
            </w:r>
          </w:p>
        </w:tc>
        <w:tc>
          <w:tcPr>
            <w:tcW w:w="0" w:type="auto"/>
            <w:vAlign w:val="center"/>
            <w:hideMark/>
          </w:tcPr>
          <w:p w14:paraId="0E500C40"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iShares MSCI Emerging Markets</w:t>
            </w:r>
          </w:p>
        </w:tc>
        <w:tc>
          <w:tcPr>
            <w:tcW w:w="0" w:type="auto"/>
            <w:vAlign w:val="center"/>
            <w:hideMark/>
          </w:tcPr>
          <w:p w14:paraId="2FF2B63D"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International Equity</w:t>
            </w:r>
          </w:p>
        </w:tc>
        <w:tc>
          <w:tcPr>
            <w:tcW w:w="0" w:type="auto"/>
            <w:vAlign w:val="center"/>
            <w:hideMark/>
          </w:tcPr>
          <w:p w14:paraId="0D46047A"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2005-04-07</w:t>
            </w:r>
          </w:p>
        </w:tc>
        <w:tc>
          <w:tcPr>
            <w:tcW w:w="0" w:type="auto"/>
            <w:vAlign w:val="center"/>
            <w:hideMark/>
          </w:tcPr>
          <w:p w14:paraId="52266648"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$25.4</w:t>
            </w:r>
          </w:p>
        </w:tc>
        <w:tc>
          <w:tcPr>
            <w:tcW w:w="0" w:type="auto"/>
            <w:vAlign w:val="center"/>
            <w:hideMark/>
          </w:tcPr>
          <w:p w14:paraId="262EA735"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0.68%</w:t>
            </w:r>
          </w:p>
        </w:tc>
        <w:tc>
          <w:tcPr>
            <w:tcW w:w="0" w:type="auto"/>
            <w:vAlign w:val="center"/>
            <w:hideMark/>
          </w:tcPr>
          <w:p w14:paraId="66D167E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Emerging Markets</w:t>
            </w:r>
          </w:p>
        </w:tc>
      </w:tr>
      <w:tr w:rsidR="00A82204" w:rsidRPr="00A82204" w14:paraId="3BE794ED" w14:textId="77777777">
        <w:trPr>
          <w:tblCellSpacing w:w="15" w:type="dxa"/>
        </w:trPr>
        <w:tc>
          <w:tcPr>
            <w:tcW w:w="0" w:type="auto"/>
            <w:vAlign w:val="center"/>
            <w:hideMark/>
          </w:tcPr>
          <w:p w14:paraId="5E65D061"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SLV</w:t>
            </w:r>
          </w:p>
        </w:tc>
        <w:tc>
          <w:tcPr>
            <w:tcW w:w="0" w:type="auto"/>
            <w:vAlign w:val="center"/>
            <w:hideMark/>
          </w:tcPr>
          <w:p w14:paraId="02F813C0"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iShares Silver Trust</w:t>
            </w:r>
          </w:p>
        </w:tc>
        <w:tc>
          <w:tcPr>
            <w:tcW w:w="0" w:type="auto"/>
            <w:vAlign w:val="center"/>
            <w:hideMark/>
          </w:tcPr>
          <w:p w14:paraId="021A5F8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Commodities</w:t>
            </w:r>
          </w:p>
        </w:tc>
        <w:tc>
          <w:tcPr>
            <w:tcW w:w="0" w:type="auto"/>
            <w:vAlign w:val="center"/>
            <w:hideMark/>
          </w:tcPr>
          <w:p w14:paraId="48D083E9"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2006-04-21</w:t>
            </w:r>
          </w:p>
        </w:tc>
        <w:tc>
          <w:tcPr>
            <w:tcW w:w="0" w:type="auto"/>
            <w:vAlign w:val="center"/>
            <w:hideMark/>
          </w:tcPr>
          <w:p w14:paraId="02614A66"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$13.1</w:t>
            </w:r>
          </w:p>
        </w:tc>
        <w:tc>
          <w:tcPr>
            <w:tcW w:w="0" w:type="auto"/>
            <w:vAlign w:val="center"/>
            <w:hideMark/>
          </w:tcPr>
          <w:p w14:paraId="696FE532"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0.50%</w:t>
            </w:r>
          </w:p>
        </w:tc>
        <w:tc>
          <w:tcPr>
            <w:tcW w:w="0" w:type="auto"/>
            <w:vAlign w:val="center"/>
            <w:hideMark/>
          </w:tcPr>
          <w:p w14:paraId="04B8AD93"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Silver Bullion</w:t>
            </w:r>
          </w:p>
        </w:tc>
      </w:tr>
      <w:tr w:rsidR="00A82204" w:rsidRPr="00A82204" w14:paraId="7CC50DF7" w14:textId="77777777">
        <w:trPr>
          <w:tblCellSpacing w:w="15" w:type="dxa"/>
        </w:trPr>
        <w:tc>
          <w:tcPr>
            <w:tcW w:w="0" w:type="auto"/>
            <w:vAlign w:val="center"/>
            <w:hideMark/>
          </w:tcPr>
          <w:p w14:paraId="3E492E9A"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HYG</w:t>
            </w:r>
          </w:p>
        </w:tc>
        <w:tc>
          <w:tcPr>
            <w:tcW w:w="0" w:type="auto"/>
            <w:vAlign w:val="center"/>
            <w:hideMark/>
          </w:tcPr>
          <w:p w14:paraId="188D9002"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 xml:space="preserve">iShares </w:t>
            </w:r>
            <w:proofErr w:type="spellStart"/>
            <w:r w:rsidRPr="00A82204">
              <w:rPr>
                <w:rFonts w:ascii="Times New Roman" w:eastAsia="Times New Roman" w:hAnsi="Times New Roman" w:cs="Times New Roman"/>
                <w:kern w:val="0"/>
                <w14:ligatures w14:val="none"/>
              </w:rPr>
              <w:t>iBoxx</w:t>
            </w:r>
            <w:proofErr w:type="spellEnd"/>
            <w:r w:rsidRPr="00A82204">
              <w:rPr>
                <w:rFonts w:ascii="Times New Roman" w:eastAsia="Times New Roman" w:hAnsi="Times New Roman" w:cs="Times New Roman"/>
                <w:kern w:val="0"/>
                <w14:ligatures w14:val="none"/>
              </w:rPr>
              <w:t xml:space="preserve"> High Yield</w:t>
            </w:r>
          </w:p>
        </w:tc>
        <w:tc>
          <w:tcPr>
            <w:tcW w:w="0" w:type="auto"/>
            <w:vAlign w:val="center"/>
            <w:hideMark/>
          </w:tcPr>
          <w:p w14:paraId="09DA49D6"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Fixed Income</w:t>
            </w:r>
          </w:p>
        </w:tc>
        <w:tc>
          <w:tcPr>
            <w:tcW w:w="0" w:type="auto"/>
            <w:vAlign w:val="center"/>
            <w:hideMark/>
          </w:tcPr>
          <w:p w14:paraId="164F578F"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2007-04-04</w:t>
            </w:r>
          </w:p>
        </w:tc>
        <w:tc>
          <w:tcPr>
            <w:tcW w:w="0" w:type="auto"/>
            <w:vAlign w:val="center"/>
            <w:hideMark/>
          </w:tcPr>
          <w:p w14:paraId="7CDEC0F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$18.9</w:t>
            </w:r>
          </w:p>
        </w:tc>
        <w:tc>
          <w:tcPr>
            <w:tcW w:w="0" w:type="auto"/>
            <w:vAlign w:val="center"/>
            <w:hideMark/>
          </w:tcPr>
          <w:p w14:paraId="089ECB62"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0.49%</w:t>
            </w:r>
          </w:p>
        </w:tc>
        <w:tc>
          <w:tcPr>
            <w:tcW w:w="0" w:type="auto"/>
            <w:vAlign w:val="center"/>
            <w:hideMark/>
          </w:tcPr>
          <w:p w14:paraId="4EED32DC"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High Yield Corporate</w:t>
            </w:r>
          </w:p>
        </w:tc>
      </w:tr>
      <w:tr w:rsidR="00A82204" w:rsidRPr="00A82204" w14:paraId="5CB3D35D" w14:textId="77777777">
        <w:trPr>
          <w:tblCellSpacing w:w="15" w:type="dxa"/>
        </w:trPr>
        <w:tc>
          <w:tcPr>
            <w:tcW w:w="0" w:type="auto"/>
            <w:vAlign w:val="center"/>
            <w:hideMark/>
          </w:tcPr>
          <w:p w14:paraId="2EB5BA16"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lastRenderedPageBreak/>
              <w:t>XLP</w:t>
            </w:r>
          </w:p>
        </w:tc>
        <w:tc>
          <w:tcPr>
            <w:tcW w:w="0" w:type="auto"/>
            <w:vAlign w:val="center"/>
            <w:hideMark/>
          </w:tcPr>
          <w:p w14:paraId="0CB0B37D"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Consumer Staples Select</w:t>
            </w:r>
          </w:p>
        </w:tc>
        <w:tc>
          <w:tcPr>
            <w:tcW w:w="0" w:type="auto"/>
            <w:vAlign w:val="center"/>
            <w:hideMark/>
          </w:tcPr>
          <w:p w14:paraId="71E27F8D"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US Equity Sector</w:t>
            </w:r>
          </w:p>
        </w:tc>
        <w:tc>
          <w:tcPr>
            <w:tcW w:w="0" w:type="auto"/>
            <w:vAlign w:val="center"/>
            <w:hideMark/>
          </w:tcPr>
          <w:p w14:paraId="19442675"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1998-12-16</w:t>
            </w:r>
          </w:p>
        </w:tc>
        <w:tc>
          <w:tcPr>
            <w:tcW w:w="0" w:type="auto"/>
            <w:vAlign w:val="center"/>
            <w:hideMark/>
          </w:tcPr>
          <w:p w14:paraId="66840F13"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$14.8</w:t>
            </w:r>
          </w:p>
        </w:tc>
        <w:tc>
          <w:tcPr>
            <w:tcW w:w="0" w:type="auto"/>
            <w:vAlign w:val="center"/>
            <w:hideMark/>
          </w:tcPr>
          <w:p w14:paraId="73432B0F"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0.10%</w:t>
            </w:r>
          </w:p>
        </w:tc>
        <w:tc>
          <w:tcPr>
            <w:tcW w:w="0" w:type="auto"/>
            <w:vAlign w:val="center"/>
            <w:hideMark/>
          </w:tcPr>
          <w:p w14:paraId="72D7D283"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Consumer Staples</w:t>
            </w:r>
          </w:p>
        </w:tc>
      </w:tr>
      <w:tr w:rsidR="00A82204" w:rsidRPr="00A82204" w14:paraId="5D7B61EC" w14:textId="77777777">
        <w:trPr>
          <w:tblCellSpacing w:w="15" w:type="dxa"/>
        </w:trPr>
        <w:tc>
          <w:tcPr>
            <w:tcW w:w="0" w:type="auto"/>
            <w:vAlign w:val="center"/>
            <w:hideMark/>
          </w:tcPr>
          <w:p w14:paraId="79C086A6"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b/>
                <w:bCs/>
                <w:kern w:val="0"/>
                <w14:ligatures w14:val="none"/>
              </w:rPr>
              <w:t>XLB</w:t>
            </w:r>
          </w:p>
        </w:tc>
        <w:tc>
          <w:tcPr>
            <w:tcW w:w="0" w:type="auto"/>
            <w:vAlign w:val="center"/>
            <w:hideMark/>
          </w:tcPr>
          <w:p w14:paraId="69FA95C6"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Materials Select Sector</w:t>
            </w:r>
          </w:p>
        </w:tc>
        <w:tc>
          <w:tcPr>
            <w:tcW w:w="0" w:type="auto"/>
            <w:vAlign w:val="center"/>
            <w:hideMark/>
          </w:tcPr>
          <w:p w14:paraId="4D50B65A"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US Equity Sector</w:t>
            </w:r>
          </w:p>
        </w:tc>
        <w:tc>
          <w:tcPr>
            <w:tcW w:w="0" w:type="auto"/>
            <w:vAlign w:val="center"/>
            <w:hideMark/>
          </w:tcPr>
          <w:p w14:paraId="2C708A57"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1998-12-16</w:t>
            </w:r>
          </w:p>
        </w:tc>
        <w:tc>
          <w:tcPr>
            <w:tcW w:w="0" w:type="auto"/>
            <w:vAlign w:val="center"/>
            <w:hideMark/>
          </w:tcPr>
          <w:p w14:paraId="7477F7CE"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$10.1</w:t>
            </w:r>
          </w:p>
        </w:tc>
        <w:tc>
          <w:tcPr>
            <w:tcW w:w="0" w:type="auto"/>
            <w:vAlign w:val="center"/>
            <w:hideMark/>
          </w:tcPr>
          <w:p w14:paraId="396A8FA0"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0.10%</w:t>
            </w:r>
          </w:p>
        </w:tc>
        <w:tc>
          <w:tcPr>
            <w:tcW w:w="0" w:type="auto"/>
            <w:vAlign w:val="center"/>
            <w:hideMark/>
          </w:tcPr>
          <w:p w14:paraId="4814B548" w14:textId="77777777" w:rsidR="00A82204" w:rsidRPr="00A82204" w:rsidRDefault="00A82204" w:rsidP="00A82204">
            <w:pPr>
              <w:spacing w:after="0"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Materials Sector</w:t>
            </w:r>
          </w:p>
        </w:tc>
      </w:tr>
    </w:tbl>
    <w:p w14:paraId="0C74739A" w14:textId="77777777" w:rsidR="00902A80" w:rsidRDefault="00062086"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Our </w:t>
      </w:r>
      <w:r w:rsidR="00A82204" w:rsidRPr="00A82204">
        <w:rPr>
          <w:rFonts w:ascii="Times New Roman" w:eastAsia="Times New Roman" w:hAnsi="Times New Roman" w:cs="Times New Roman"/>
          <w:kern w:val="0"/>
          <w14:ligatures w14:val="none"/>
        </w:rPr>
        <w:t>ETF universe represents approximately $810 billion in combined assets under ma</w:t>
      </w:r>
      <w:r w:rsidR="00A82204" w:rsidRPr="00062086">
        <w:rPr>
          <w:rFonts w:ascii="Times New Roman" w:eastAsia="Times New Roman" w:hAnsi="Times New Roman" w:cs="Times New Roman"/>
          <w:kern w:val="0"/>
          <w14:ligatures w14:val="none"/>
        </w:rPr>
        <w:t>nagement</w:t>
      </w:r>
      <w:r w:rsidR="00B46F06" w:rsidRPr="00062086">
        <w:rPr>
          <w:rFonts w:ascii="Times New Roman" w:eastAsia="Times New Roman" w:hAnsi="Times New Roman" w:cs="Times New Roman"/>
          <w:kern w:val="0"/>
          <w14:ligatures w14:val="none"/>
        </w:rPr>
        <w:t xml:space="preserve">. </w:t>
      </w:r>
      <w:r w:rsidR="00A82204" w:rsidRPr="00062086">
        <w:rPr>
          <w:rFonts w:ascii="Times New Roman" w:eastAsia="Times New Roman" w:hAnsi="Times New Roman" w:cs="Times New Roman"/>
          <w:kern w:val="0"/>
          <w14:ligatures w14:val="none"/>
        </w:rPr>
        <w:t>The selection spans</w:t>
      </w:r>
      <w:r w:rsidRPr="00062086">
        <w:rPr>
          <w:rFonts w:ascii="Times New Roman" w:eastAsia="Times New Roman" w:hAnsi="Times New Roman" w:cs="Times New Roman"/>
          <w:kern w:val="0"/>
          <w14:ligatures w14:val="none"/>
        </w:rPr>
        <w:t xml:space="preserve"> the </w:t>
      </w:r>
      <w:r w:rsidR="00A82204" w:rsidRPr="00062086">
        <w:rPr>
          <w:rFonts w:ascii="Times New Roman" w:eastAsia="Times New Roman" w:hAnsi="Times New Roman" w:cs="Times New Roman"/>
          <w:kern w:val="0"/>
          <w14:ligatures w14:val="none"/>
        </w:rPr>
        <w:t>US Equity Broad Market (</w:t>
      </w:r>
      <w:r w:rsidR="00243CC9" w:rsidRPr="00062086">
        <w:rPr>
          <w:rFonts w:ascii="Times New Roman" w:eastAsia="Times New Roman" w:hAnsi="Times New Roman" w:cs="Times New Roman"/>
          <w:kern w:val="0"/>
          <w14:ligatures w14:val="none"/>
        </w:rPr>
        <w:t>2</w:t>
      </w:r>
      <w:r w:rsidR="00A82204" w:rsidRPr="00062086">
        <w:rPr>
          <w:rFonts w:ascii="Times New Roman" w:eastAsia="Times New Roman" w:hAnsi="Times New Roman" w:cs="Times New Roman"/>
          <w:kern w:val="0"/>
          <w14:ligatures w14:val="none"/>
        </w:rPr>
        <w:t xml:space="preserve"> ETFs): IWM, DIA</w:t>
      </w:r>
      <w:r w:rsidRPr="00062086">
        <w:rPr>
          <w:rFonts w:ascii="Times New Roman" w:eastAsia="Times New Roman" w:hAnsi="Times New Roman" w:cs="Times New Roman"/>
          <w:kern w:val="0"/>
          <w14:ligatures w14:val="none"/>
        </w:rPr>
        <w:t xml:space="preserve">, </w:t>
      </w:r>
      <w:r w:rsidR="00A82204" w:rsidRPr="00062086">
        <w:rPr>
          <w:rFonts w:ascii="Times New Roman" w:eastAsia="Times New Roman" w:hAnsi="Times New Roman" w:cs="Times New Roman"/>
          <w:kern w:val="0"/>
          <w14:ligatures w14:val="none"/>
        </w:rPr>
        <w:t>US Equity Sectors (9 ETFs): XLK, XLF, XLE, XLY, XLI, XLU, XLP, XLB</w:t>
      </w:r>
      <w:r w:rsidRPr="00062086">
        <w:rPr>
          <w:rFonts w:ascii="Times New Roman" w:eastAsia="Times New Roman" w:hAnsi="Times New Roman" w:cs="Times New Roman"/>
          <w:kern w:val="0"/>
          <w14:ligatures w14:val="none"/>
        </w:rPr>
        <w:t xml:space="preserve">, </w:t>
      </w:r>
      <w:r w:rsidR="00A82204" w:rsidRPr="00062086">
        <w:rPr>
          <w:rFonts w:ascii="Times New Roman" w:eastAsia="Times New Roman" w:hAnsi="Times New Roman" w:cs="Times New Roman"/>
          <w:kern w:val="0"/>
          <w14:ligatures w14:val="none"/>
        </w:rPr>
        <w:t>International Equity (2 ETFs): EFA, EEM</w:t>
      </w:r>
      <w:r w:rsidRPr="00062086">
        <w:rPr>
          <w:rFonts w:ascii="Times New Roman" w:eastAsia="Times New Roman" w:hAnsi="Times New Roman" w:cs="Times New Roman"/>
          <w:kern w:val="0"/>
          <w14:ligatures w14:val="none"/>
        </w:rPr>
        <w:t xml:space="preserve">, </w:t>
      </w:r>
      <w:r w:rsidR="00A82204" w:rsidRPr="00062086">
        <w:rPr>
          <w:rFonts w:ascii="Times New Roman" w:eastAsia="Times New Roman" w:hAnsi="Times New Roman" w:cs="Times New Roman"/>
          <w:kern w:val="0"/>
          <w14:ligatures w14:val="none"/>
        </w:rPr>
        <w:t>Fixed Income (4 ETFs): TLT, IEF, LQD, HYG</w:t>
      </w:r>
      <w:r w:rsidRPr="00062086">
        <w:rPr>
          <w:rFonts w:ascii="Times New Roman" w:eastAsia="Times New Roman" w:hAnsi="Times New Roman" w:cs="Times New Roman"/>
          <w:kern w:val="0"/>
          <w14:ligatures w14:val="none"/>
        </w:rPr>
        <w:t xml:space="preserve">, and </w:t>
      </w:r>
      <w:r w:rsidR="00A82204" w:rsidRPr="00062086">
        <w:rPr>
          <w:rFonts w:ascii="Times New Roman" w:eastAsia="Times New Roman" w:hAnsi="Times New Roman" w:cs="Times New Roman"/>
          <w:kern w:val="0"/>
          <w14:ligatures w14:val="none"/>
        </w:rPr>
        <w:t>Commodities (2 ETFs): GLD, SLV</w:t>
      </w:r>
      <w:r w:rsidRPr="00062086">
        <w:rPr>
          <w:rFonts w:ascii="Times New Roman" w:eastAsia="Times New Roman" w:hAnsi="Times New Roman" w:cs="Times New Roman"/>
          <w:kern w:val="0"/>
          <w14:ligatures w14:val="none"/>
        </w:rPr>
        <w:t>.   Note that w</w:t>
      </w:r>
      <w:r w:rsidR="00243CC9" w:rsidRPr="00062086">
        <w:rPr>
          <w:rFonts w:ascii="Times New Roman" w:eastAsia="Times New Roman" w:hAnsi="Times New Roman" w:cs="Times New Roman"/>
          <w:kern w:val="0"/>
          <w14:ligatures w14:val="none"/>
        </w:rPr>
        <w:t>e avoid usage of QQQ as a diversifier, as it is too closely related to SPY.</w:t>
      </w:r>
      <w:r>
        <w:rPr>
          <w:rFonts w:ascii="Times New Roman" w:eastAsia="Times New Roman" w:hAnsi="Times New Roman" w:cs="Times New Roman"/>
          <w:kern w:val="0"/>
          <w14:ligatures w14:val="none"/>
        </w:rPr>
        <w:t xml:space="preserve">  Throughout, we use </w:t>
      </w:r>
      <w:r w:rsidRPr="00A82204">
        <w:rPr>
          <w:rFonts w:ascii="Times New Roman" w:eastAsia="Times New Roman" w:hAnsi="Times New Roman" w:cs="Times New Roman"/>
          <w:kern w:val="0"/>
          <w14:ligatures w14:val="none"/>
        </w:rPr>
        <w:t>SPY</w:t>
      </w:r>
      <w:r>
        <w:rPr>
          <w:rFonts w:ascii="Times New Roman" w:eastAsia="Times New Roman" w:hAnsi="Times New Roman" w:cs="Times New Roman"/>
          <w:kern w:val="0"/>
          <w14:ligatures w14:val="none"/>
        </w:rPr>
        <w:t xml:space="preserve"> </w:t>
      </w:r>
      <w:r w:rsidRPr="00A82204">
        <w:rPr>
          <w:rFonts w:ascii="Times New Roman" w:eastAsia="Times New Roman" w:hAnsi="Times New Roman" w:cs="Times New Roman"/>
          <w:kern w:val="0"/>
          <w14:ligatures w14:val="none"/>
        </w:rPr>
        <w:t xml:space="preserve">as </w:t>
      </w:r>
      <w:r>
        <w:rPr>
          <w:rFonts w:ascii="Times New Roman" w:eastAsia="Times New Roman" w:hAnsi="Times New Roman" w:cs="Times New Roman"/>
          <w:kern w:val="0"/>
          <w14:ligatures w14:val="none"/>
        </w:rPr>
        <w:t xml:space="preserve">a </w:t>
      </w:r>
      <w:r w:rsidRPr="00A82204">
        <w:rPr>
          <w:rFonts w:ascii="Times New Roman" w:eastAsia="Times New Roman" w:hAnsi="Times New Roman" w:cs="Times New Roman"/>
          <w:kern w:val="0"/>
          <w14:ligatures w14:val="none"/>
        </w:rPr>
        <w:t>benchmark comparator</w:t>
      </w:r>
      <w:r>
        <w:rPr>
          <w:rFonts w:ascii="Times New Roman" w:eastAsia="Times New Roman" w:hAnsi="Times New Roman" w:cs="Times New Roman"/>
          <w:kern w:val="0"/>
          <w14:ligatures w14:val="none"/>
        </w:rPr>
        <w:t>.  It incepted in 1993, has</w:t>
      </w:r>
      <w:r w:rsidRPr="00A82204">
        <w:rPr>
          <w:rFonts w:ascii="Times New Roman" w:eastAsia="Times New Roman" w:hAnsi="Times New Roman" w:cs="Times New Roman"/>
          <w:kern w:val="0"/>
          <w14:ligatures w14:val="none"/>
        </w:rPr>
        <w:t xml:space="preserve"> AUM</w:t>
      </w:r>
      <w:r>
        <w:rPr>
          <w:rFonts w:ascii="Times New Roman" w:eastAsia="Times New Roman" w:hAnsi="Times New Roman" w:cs="Times New Roman"/>
          <w:kern w:val="0"/>
          <w14:ligatures w14:val="none"/>
        </w:rPr>
        <w:t xml:space="preserve"> of $</w:t>
      </w:r>
      <w:r w:rsidRPr="00A82204">
        <w:rPr>
          <w:rFonts w:ascii="Times New Roman" w:eastAsia="Times New Roman" w:hAnsi="Times New Roman" w:cs="Times New Roman"/>
          <w:kern w:val="0"/>
          <w14:ligatures w14:val="none"/>
        </w:rPr>
        <w:t>516.8B,</w:t>
      </w:r>
      <w:r>
        <w:rPr>
          <w:rFonts w:ascii="Times New Roman" w:eastAsia="Times New Roman" w:hAnsi="Times New Roman" w:cs="Times New Roman"/>
          <w:kern w:val="0"/>
          <w14:ligatures w14:val="none"/>
        </w:rPr>
        <w:t xml:space="preserve"> and an expense ratio of</w:t>
      </w:r>
      <w:r w:rsidRPr="00A82204">
        <w:rPr>
          <w:rFonts w:ascii="Times New Roman" w:eastAsia="Times New Roman" w:hAnsi="Times New Roman" w:cs="Times New Roman"/>
          <w:kern w:val="0"/>
          <w14:ligatures w14:val="none"/>
        </w:rPr>
        <w:t xml:space="preserve"> 0.09%</w:t>
      </w:r>
      <w:r w:rsidR="00902A80">
        <w:rPr>
          <w:rFonts w:ascii="Times New Roman" w:eastAsia="Times New Roman" w:hAnsi="Times New Roman" w:cs="Times New Roman"/>
          <w:kern w:val="0"/>
          <w14:ligatures w14:val="none"/>
        </w:rPr>
        <w:br/>
      </w:r>
    </w:p>
    <w:p w14:paraId="562C1DB0" w14:textId="77777777" w:rsidR="00902A80" w:rsidRDefault="00902A8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6EE63285" w14:textId="6A839D08" w:rsidR="00062086" w:rsidRPr="00A82204" w:rsidRDefault="00062086"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w:t>
      </w:r>
    </w:p>
    <w:p w14:paraId="47A90CC2" w14:textId="295D4476" w:rsidR="00062086" w:rsidRPr="00062086" w:rsidRDefault="00062086" w:rsidP="00062086">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Data</w:t>
      </w:r>
    </w:p>
    <w:p w14:paraId="5929032B" w14:textId="045B6F72" w:rsidR="00A82204" w:rsidRPr="00A82204" w:rsidRDefault="00A82204" w:rsidP="00062086">
      <w:pPr>
        <w:spacing w:before="100" w:beforeAutospacing="1" w:after="100" w:afterAutospacing="1"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We utilize comprehensive daily option data from ORATS (Option Research &amp; Technology Services) covering approximately 10 years of trading history. The dataset includes</w:t>
      </w:r>
      <w:r w:rsidR="00062086">
        <w:rPr>
          <w:rFonts w:ascii="Times New Roman" w:eastAsia="Times New Roman" w:hAnsi="Times New Roman" w:cs="Times New Roman"/>
          <w:kern w:val="0"/>
          <w14:ligatures w14:val="none"/>
        </w:rPr>
        <w:t xml:space="preserve"> e</w:t>
      </w:r>
      <w:r w:rsidRPr="00062086">
        <w:rPr>
          <w:rFonts w:ascii="Times New Roman" w:eastAsia="Times New Roman" w:hAnsi="Times New Roman" w:cs="Times New Roman"/>
          <w:kern w:val="0"/>
          <w14:ligatures w14:val="none"/>
        </w:rPr>
        <w:t>nd-of-day option prices for all available strikes and expirations</w:t>
      </w:r>
      <w:r w:rsidR="00062086">
        <w:rPr>
          <w:rFonts w:ascii="Times New Roman" w:eastAsia="Times New Roman" w:hAnsi="Times New Roman" w:cs="Times New Roman"/>
          <w:kern w:val="0"/>
          <w14:ligatures w14:val="none"/>
        </w:rPr>
        <w:t>; i</w:t>
      </w:r>
      <w:r w:rsidRPr="00062086">
        <w:rPr>
          <w:rFonts w:ascii="Times New Roman" w:eastAsia="Times New Roman" w:hAnsi="Times New Roman" w:cs="Times New Roman"/>
          <w:kern w:val="0"/>
          <w14:ligatures w14:val="none"/>
        </w:rPr>
        <w:t>mplied volatilities calculated using market-standard Black-Scholes methodology with dividend adjustments</w:t>
      </w:r>
      <w:r w:rsidR="00062086">
        <w:rPr>
          <w:rFonts w:ascii="Times New Roman" w:eastAsia="Times New Roman" w:hAnsi="Times New Roman" w:cs="Times New Roman"/>
          <w:kern w:val="0"/>
          <w14:ligatures w14:val="none"/>
        </w:rPr>
        <w:t>; o</w:t>
      </w:r>
      <w:r w:rsidRPr="00062086">
        <w:rPr>
          <w:rFonts w:ascii="Times New Roman" w:eastAsia="Times New Roman" w:hAnsi="Times New Roman" w:cs="Times New Roman"/>
          <w:kern w:val="0"/>
          <w14:ligatures w14:val="none"/>
        </w:rPr>
        <w:t xml:space="preserve">ption Greeks including delta, gamma, theta, and </w:t>
      </w:r>
      <w:proofErr w:type="spellStart"/>
      <w:r w:rsidRPr="00062086">
        <w:rPr>
          <w:rFonts w:ascii="Times New Roman" w:eastAsia="Times New Roman" w:hAnsi="Times New Roman" w:cs="Times New Roman"/>
          <w:kern w:val="0"/>
          <w14:ligatures w14:val="none"/>
        </w:rPr>
        <w:t>vega</w:t>
      </w:r>
      <w:proofErr w:type="spellEnd"/>
      <w:r w:rsidR="00062086">
        <w:rPr>
          <w:rFonts w:ascii="Times New Roman" w:eastAsia="Times New Roman" w:hAnsi="Times New Roman" w:cs="Times New Roman"/>
          <w:kern w:val="0"/>
          <w14:ligatures w14:val="none"/>
        </w:rPr>
        <w:t>; v</w:t>
      </w:r>
      <w:r w:rsidRPr="00062086">
        <w:rPr>
          <w:rFonts w:ascii="Times New Roman" w:eastAsia="Times New Roman" w:hAnsi="Times New Roman" w:cs="Times New Roman"/>
          <w:kern w:val="0"/>
          <w14:ligatures w14:val="none"/>
        </w:rPr>
        <w:t>olume and open interest data for liquidity assessment</w:t>
      </w:r>
      <w:r w:rsidR="00062086">
        <w:rPr>
          <w:rFonts w:ascii="Times New Roman" w:eastAsia="Times New Roman" w:hAnsi="Times New Roman" w:cs="Times New Roman"/>
          <w:kern w:val="0"/>
          <w14:ligatures w14:val="none"/>
        </w:rPr>
        <w:t xml:space="preserve">; as well as </w:t>
      </w:r>
      <w:r w:rsidRPr="00062086">
        <w:rPr>
          <w:rFonts w:ascii="Times New Roman" w:eastAsia="Times New Roman" w:hAnsi="Times New Roman" w:cs="Times New Roman"/>
          <w:kern w:val="0"/>
          <w14:ligatures w14:val="none"/>
        </w:rPr>
        <w:t>ETF prices and dividend</w:t>
      </w:r>
      <w:r w:rsidR="00062086">
        <w:rPr>
          <w:rFonts w:ascii="Times New Roman" w:eastAsia="Times New Roman" w:hAnsi="Times New Roman" w:cs="Times New Roman"/>
          <w:kern w:val="0"/>
          <w14:ligatures w14:val="none"/>
        </w:rPr>
        <w:t>s.</w:t>
      </w:r>
    </w:p>
    <w:p w14:paraId="156B6815" w14:textId="3E73FBD7" w:rsidR="00A82204" w:rsidRPr="00062086" w:rsidRDefault="00062086" w:rsidP="00A82204">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kern w:val="0"/>
          <w14:ligatures w14:val="none"/>
        </w:rPr>
        <w:t xml:space="preserve">Our sample </w:t>
      </w:r>
      <w:r w:rsidR="00A82204" w:rsidRPr="00A82204">
        <w:rPr>
          <w:rFonts w:ascii="Times New Roman" w:eastAsia="Times New Roman" w:hAnsi="Times New Roman" w:cs="Times New Roman"/>
          <w:kern w:val="0"/>
          <w14:ligatures w14:val="none"/>
        </w:rPr>
        <w:t>begins with the earliest available option data for each ETF, with most series extending from 2015 through 2024, providing sufficient history to analyze volatility premiums across multiple market cycles including the COVID-19 crisis, Federal Reserve policy transitions, and various sector-specific volatility events.</w:t>
      </w:r>
      <w:r w:rsidR="00B46F06">
        <w:rPr>
          <w:rFonts w:ascii="Times New Roman" w:eastAsia="Times New Roman" w:hAnsi="Times New Roman" w:cs="Times New Roman"/>
          <w:kern w:val="0"/>
          <w14:ligatures w14:val="none"/>
        </w:rPr>
        <w:t xml:space="preserve">    Of course, this excludes important tail events, such as the 2008 Great Financial Crisis, and the Crash of October 1987.</w:t>
      </w:r>
    </w:p>
    <w:p w14:paraId="1810E5A0" w14:textId="295DB7BF" w:rsidR="00062086" w:rsidRPr="00062086" w:rsidRDefault="00062086" w:rsidP="00062086">
      <w:pPr>
        <w:spacing w:before="100" w:beforeAutospacing="1" w:after="100" w:afterAutospacing="1" w:line="240" w:lineRule="auto"/>
        <w:outlineLvl w:val="2"/>
        <w:rPr>
          <w:rFonts w:ascii="Times New Roman" w:eastAsia="Times New Roman" w:hAnsi="Times New Roman" w:cs="Times New Roman"/>
          <w:kern w:val="0"/>
          <w14:ligatures w14:val="none"/>
        </w:rPr>
      </w:pPr>
      <w:r>
        <w:rPr>
          <w:rFonts w:ascii="Times New Roman" w:eastAsia="Times New Roman" w:hAnsi="Times New Roman" w:cs="Times New Roman"/>
          <w:b/>
          <w:bCs/>
          <w:kern w:val="0"/>
          <w:sz w:val="27"/>
          <w:szCs w:val="27"/>
          <w14:ligatures w14:val="none"/>
        </w:rPr>
        <w:t>3.</w:t>
      </w:r>
      <w:r>
        <w:rPr>
          <w:rFonts w:ascii="Times New Roman" w:eastAsia="Times New Roman" w:hAnsi="Times New Roman" w:cs="Times New Roman"/>
          <w:b/>
          <w:bCs/>
          <w:kern w:val="0"/>
          <w:sz w:val="27"/>
          <w:szCs w:val="27"/>
          <w14:ligatures w14:val="none"/>
        </w:rPr>
        <w:tab/>
      </w:r>
      <w:r w:rsidRPr="00062086">
        <w:rPr>
          <w:rFonts w:ascii="Times New Roman" w:eastAsia="Times New Roman" w:hAnsi="Times New Roman" w:cs="Times New Roman"/>
          <w:b/>
          <w:bCs/>
          <w:kern w:val="0"/>
          <w:sz w:val="27"/>
          <w:szCs w:val="27"/>
          <w14:ligatures w14:val="none"/>
        </w:rPr>
        <w:t>Delta-hedged short straddles</w:t>
      </w:r>
    </w:p>
    <w:p w14:paraId="2008BB32" w14:textId="77777777" w:rsidR="00902A80" w:rsidRDefault="00062086" w:rsidP="00902A80">
      <w:pPr>
        <w:spacing w:before="100" w:beforeAutospacing="1" w:after="100" w:afterAutospacing="1"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 xml:space="preserve">Institutional investors can capture </w:t>
      </w:r>
      <w:r>
        <w:rPr>
          <w:rFonts w:ascii="Times New Roman" w:eastAsia="Times New Roman" w:hAnsi="Times New Roman" w:cs="Times New Roman"/>
          <w:kern w:val="0"/>
          <w14:ligatures w14:val="none"/>
        </w:rPr>
        <w:t xml:space="preserve">short </w:t>
      </w:r>
      <w:r w:rsidRPr="00A82204">
        <w:rPr>
          <w:rFonts w:ascii="Times New Roman" w:eastAsia="Times New Roman" w:hAnsi="Times New Roman" w:cs="Times New Roman"/>
          <w:kern w:val="0"/>
          <w14:ligatures w14:val="none"/>
        </w:rPr>
        <w:t xml:space="preserve">volatility premiums through </w:t>
      </w:r>
      <w:r>
        <w:rPr>
          <w:rFonts w:ascii="Times New Roman" w:eastAsia="Times New Roman" w:hAnsi="Times New Roman" w:cs="Times New Roman"/>
          <w:kern w:val="0"/>
          <w14:ligatures w14:val="none"/>
        </w:rPr>
        <w:t xml:space="preserve">a variety of </w:t>
      </w:r>
      <w:r w:rsidRPr="00A82204">
        <w:rPr>
          <w:rFonts w:ascii="Times New Roman" w:eastAsia="Times New Roman" w:hAnsi="Times New Roman" w:cs="Times New Roman"/>
          <w:kern w:val="0"/>
          <w14:ligatures w14:val="none"/>
        </w:rPr>
        <w:t xml:space="preserve">systematic </w:t>
      </w:r>
      <w:r>
        <w:rPr>
          <w:rFonts w:ascii="Times New Roman" w:eastAsia="Times New Roman" w:hAnsi="Times New Roman" w:cs="Times New Roman"/>
          <w:kern w:val="0"/>
          <w14:ligatures w14:val="none"/>
        </w:rPr>
        <w:t>transactions</w:t>
      </w:r>
      <w:r w:rsidRPr="00A82204">
        <w:rPr>
          <w:rFonts w:ascii="Times New Roman" w:eastAsia="Times New Roman" w:hAnsi="Times New Roman" w:cs="Times New Roman"/>
          <w:kern w:val="0"/>
          <w14:ligatures w14:val="none"/>
        </w:rPr>
        <w:t>, each with distinct risk-return characteristics and implementation considerations</w:t>
      </w:r>
      <w:r>
        <w:rPr>
          <w:rFonts w:ascii="Times New Roman" w:eastAsia="Times New Roman" w:hAnsi="Times New Roman" w:cs="Times New Roman"/>
          <w:kern w:val="0"/>
          <w14:ligatures w14:val="none"/>
        </w:rPr>
        <w:t xml:space="preserve">.   For simplicity, in our analysis we use delta-hedged short straddles.  This approach sells </w:t>
      </w:r>
      <w:r w:rsidRPr="00A82204">
        <w:rPr>
          <w:rFonts w:ascii="Times New Roman" w:eastAsia="Times New Roman" w:hAnsi="Times New Roman" w:cs="Times New Roman"/>
          <w:kern w:val="0"/>
          <w14:ligatures w14:val="none"/>
        </w:rPr>
        <w:t xml:space="preserve">a call and </w:t>
      </w:r>
      <w:proofErr w:type="gramStart"/>
      <w:r w:rsidRPr="00A82204">
        <w:rPr>
          <w:rFonts w:ascii="Times New Roman" w:eastAsia="Times New Roman" w:hAnsi="Times New Roman" w:cs="Times New Roman"/>
          <w:kern w:val="0"/>
          <w14:ligatures w14:val="none"/>
        </w:rPr>
        <w:t>put</w:t>
      </w:r>
      <w:proofErr w:type="gramEnd"/>
      <w:r w:rsidRPr="00A82204">
        <w:rPr>
          <w:rFonts w:ascii="Times New Roman" w:eastAsia="Times New Roman" w:hAnsi="Times New Roman" w:cs="Times New Roman"/>
          <w:kern w:val="0"/>
          <w14:ligatures w14:val="none"/>
        </w:rPr>
        <w:t xml:space="preserve"> option</w:t>
      </w:r>
      <w:r>
        <w:rPr>
          <w:rFonts w:ascii="Times New Roman" w:eastAsia="Times New Roman" w:hAnsi="Times New Roman" w:cs="Times New Roman"/>
          <w:kern w:val="0"/>
          <w14:ligatures w14:val="none"/>
        </w:rPr>
        <w:t xml:space="preserve"> at the same (at-the-money) strike price with one month until expiration,</w:t>
      </w:r>
      <w:r w:rsidRPr="00A82204">
        <w:rPr>
          <w:rFonts w:ascii="Times New Roman" w:eastAsia="Times New Roman" w:hAnsi="Times New Roman" w:cs="Times New Roman"/>
          <w:kern w:val="0"/>
          <w14:ligatures w14:val="none"/>
        </w:rPr>
        <w:t xml:space="preserve"> collecting premium from both options</w:t>
      </w:r>
      <w:r>
        <w:rPr>
          <w:rFonts w:ascii="Times New Roman" w:eastAsia="Times New Roman" w:hAnsi="Times New Roman" w:cs="Times New Roman"/>
          <w:kern w:val="0"/>
          <w14:ligatures w14:val="none"/>
        </w:rPr>
        <w:t xml:space="preserve">, then delta-hedging (negating the delta of the option package) daily through expiration.   Below are results for our </w:t>
      </w:r>
      <w:proofErr w:type="gramStart"/>
      <w:r>
        <w:rPr>
          <w:rFonts w:ascii="Times New Roman" w:eastAsia="Times New Roman" w:hAnsi="Times New Roman" w:cs="Times New Roman"/>
          <w:kern w:val="0"/>
          <w14:ligatures w14:val="none"/>
        </w:rPr>
        <w:t>10 year</w:t>
      </w:r>
      <w:proofErr w:type="gramEnd"/>
      <w:r>
        <w:rPr>
          <w:rFonts w:ascii="Times New Roman" w:eastAsia="Times New Roman" w:hAnsi="Times New Roman" w:cs="Times New Roman"/>
          <w:kern w:val="0"/>
          <w14:ligatures w14:val="none"/>
        </w:rPr>
        <w:t xml:space="preserve"> sample for all tickers, for an equally weighted composite of all ETF tickers, and for comparison the same strategy implemented on SPY, </w:t>
      </w:r>
      <w:proofErr w:type="gramStart"/>
      <w:r>
        <w:rPr>
          <w:rFonts w:ascii="Times New Roman" w:eastAsia="Times New Roman" w:hAnsi="Times New Roman" w:cs="Times New Roman"/>
          <w:kern w:val="0"/>
          <w14:ligatures w14:val="none"/>
        </w:rPr>
        <w:t>and also</w:t>
      </w:r>
      <w:proofErr w:type="gramEnd"/>
      <w:r>
        <w:rPr>
          <w:rFonts w:ascii="Times New Roman" w:eastAsia="Times New Roman" w:hAnsi="Times New Roman" w:cs="Times New Roman"/>
          <w:kern w:val="0"/>
          <w14:ligatures w14:val="none"/>
        </w:rPr>
        <w:t xml:space="preserve"> the returns of SPY as an </w:t>
      </w:r>
      <w:proofErr w:type="spellStart"/>
      <w:r>
        <w:rPr>
          <w:rFonts w:ascii="Times New Roman" w:eastAsia="Times New Roman" w:hAnsi="Times New Roman" w:cs="Times New Roman"/>
          <w:kern w:val="0"/>
          <w14:ligatures w14:val="none"/>
        </w:rPr>
        <w:t>undelyer</w:t>
      </w:r>
      <w:proofErr w:type="spellEnd"/>
      <w:r>
        <w:rPr>
          <w:rFonts w:ascii="Times New Roman" w:eastAsia="Times New Roman" w:hAnsi="Times New Roman" w:cs="Times New Roman"/>
          <w:kern w:val="0"/>
          <w14:ligatures w14:val="none"/>
        </w:rPr>
        <w:t xml:space="preserve">. </w:t>
      </w:r>
    </w:p>
    <w:p w14:paraId="389CE2D9" w14:textId="26DDA4D1" w:rsidR="00062086" w:rsidRPr="00062086" w:rsidRDefault="00062086" w:rsidP="00902A80">
      <w:pPr>
        <w:spacing w:before="100" w:beforeAutospacing="1" w:after="100" w:afterAutospacing="1" w:line="240" w:lineRule="auto"/>
        <w:rPr>
          <w:rFonts w:ascii="Times New Roman" w:eastAsia="Times New Roman" w:hAnsi="Times New Roman" w:cs="Times New Roman"/>
          <w:kern w:val="0"/>
          <w14:ligatures w14:val="none"/>
        </w:rPr>
      </w:pPr>
      <w:r w:rsidRPr="00062086">
        <w:rPr>
          <w:rFonts w:ascii="Times New Roman" w:eastAsia="Times New Roman" w:hAnsi="Times New Roman" w:cs="Times New Roman"/>
          <w:b/>
          <w:bCs/>
          <w:kern w:val="0"/>
          <w:sz w:val="27"/>
          <w:szCs w:val="27"/>
          <w14:ligatures w14:val="none"/>
        </w:rPr>
        <w:t>4.</w:t>
      </w:r>
      <w:r w:rsidRPr="00062086">
        <w:rPr>
          <w:rFonts w:ascii="Times New Roman" w:eastAsia="Times New Roman" w:hAnsi="Times New Roman" w:cs="Times New Roman"/>
          <w:b/>
          <w:bCs/>
          <w:kern w:val="0"/>
          <w:sz w:val="27"/>
          <w:szCs w:val="27"/>
          <w14:ligatures w14:val="none"/>
        </w:rPr>
        <w:tab/>
      </w:r>
      <w:r>
        <w:rPr>
          <w:rFonts w:ascii="Times New Roman" w:eastAsia="Times New Roman" w:hAnsi="Times New Roman" w:cs="Times New Roman"/>
          <w:b/>
          <w:bCs/>
          <w:kern w:val="0"/>
          <w:sz w:val="27"/>
          <w:szCs w:val="27"/>
          <w14:ligatures w14:val="none"/>
        </w:rPr>
        <w:t>C</w:t>
      </w:r>
      <w:r w:rsidRPr="00062086">
        <w:rPr>
          <w:rFonts w:ascii="Times New Roman" w:eastAsia="Times New Roman" w:hAnsi="Times New Roman" w:cs="Times New Roman"/>
          <w:b/>
          <w:bCs/>
          <w:kern w:val="0"/>
          <w:sz w:val="27"/>
          <w:szCs w:val="27"/>
          <w14:ligatures w14:val="none"/>
        </w:rPr>
        <w:t xml:space="preserve">omparison of implied and realized volatility </w:t>
      </w:r>
    </w:p>
    <w:p w14:paraId="078E8229" w14:textId="12B412B3" w:rsidR="00A82204" w:rsidRPr="00062086" w:rsidRDefault="00A82204" w:rsidP="00062086">
      <w:pPr>
        <w:spacing w:before="100" w:beforeAutospacing="1" w:after="100" w:afterAutospacing="1" w:line="240" w:lineRule="auto"/>
        <w:outlineLvl w:val="2"/>
        <w:rPr>
          <w:rFonts w:ascii="Times New Roman" w:eastAsia="Times New Roman" w:hAnsi="Times New Roman" w:cs="Times New Roman"/>
          <w:kern w:val="0"/>
          <w14:ligatures w14:val="none"/>
        </w:rPr>
      </w:pPr>
      <w:r w:rsidRPr="00062086">
        <w:rPr>
          <w:rFonts w:ascii="Times New Roman" w:eastAsia="Times New Roman" w:hAnsi="Times New Roman" w:cs="Times New Roman"/>
          <w:kern w:val="0"/>
          <w14:ligatures w14:val="none"/>
        </w:rPr>
        <w:t xml:space="preserve">Following the established literature, we calculate the implied-realized volatility spread </w:t>
      </w:r>
      <w:r w:rsidR="00062086" w:rsidRPr="00062086">
        <w:rPr>
          <w:rFonts w:ascii="Times New Roman" w:eastAsia="Times New Roman" w:hAnsi="Times New Roman" w:cs="Times New Roman"/>
          <w:kern w:val="0"/>
          <w14:ligatures w14:val="none"/>
        </w:rPr>
        <w:t xml:space="preserve">(IRVS) </w:t>
      </w:r>
      <w:r w:rsidRPr="00062086">
        <w:rPr>
          <w:rFonts w:ascii="Times New Roman" w:eastAsia="Times New Roman" w:hAnsi="Times New Roman" w:cs="Times New Roman"/>
          <w:kern w:val="0"/>
          <w14:ligatures w14:val="none"/>
        </w:rPr>
        <w:t>as</w:t>
      </w:r>
      <w:r w:rsidR="00B46F06" w:rsidRPr="00062086">
        <w:rPr>
          <w:rFonts w:ascii="Times New Roman" w:eastAsia="Times New Roman" w:hAnsi="Times New Roman" w:cs="Times New Roman"/>
          <w:kern w:val="0"/>
          <w14:ligatures w14:val="none"/>
        </w:rPr>
        <w:t xml:space="preserve"> the difference between the </w:t>
      </w:r>
      <w:proofErr w:type="gramStart"/>
      <w:r w:rsidR="00B46F06" w:rsidRPr="00062086">
        <w:rPr>
          <w:rFonts w:ascii="Times New Roman" w:eastAsia="Times New Roman" w:hAnsi="Times New Roman" w:cs="Times New Roman"/>
          <w:kern w:val="0"/>
          <w14:ligatures w14:val="none"/>
        </w:rPr>
        <w:t>30 day</w:t>
      </w:r>
      <w:proofErr w:type="gramEnd"/>
      <w:r w:rsidR="00B46F06" w:rsidRPr="00062086">
        <w:rPr>
          <w:rFonts w:ascii="Times New Roman" w:eastAsia="Times New Roman" w:hAnsi="Times New Roman" w:cs="Times New Roman"/>
          <w:kern w:val="0"/>
          <w14:ligatures w14:val="none"/>
        </w:rPr>
        <w:t xml:space="preserve"> ATM implied volatility (based on the Black-Scholes model), and</w:t>
      </w:r>
      <w:r w:rsidR="00062086">
        <w:rPr>
          <w:rFonts w:ascii="Times New Roman" w:eastAsia="Times New Roman" w:hAnsi="Times New Roman" w:cs="Times New Roman"/>
          <w:kern w:val="0"/>
          <w14:ligatures w14:val="none"/>
        </w:rPr>
        <w:t xml:space="preserve"> </w:t>
      </w:r>
      <w:r w:rsidR="00B46F06" w:rsidRPr="00062086">
        <w:rPr>
          <w:rFonts w:ascii="Times New Roman" w:eastAsia="Times New Roman" w:hAnsi="Times New Roman" w:cs="Times New Roman"/>
          <w:kern w:val="0"/>
          <w14:ligatures w14:val="none"/>
        </w:rPr>
        <w:t xml:space="preserve">subsequent 30 day realized volatility. </w:t>
      </w:r>
    </w:p>
    <w:p w14:paraId="3293FEB5" w14:textId="06D46E82" w:rsidR="00902A80" w:rsidRDefault="00A82204" w:rsidP="00A82204">
      <w:pPr>
        <w:spacing w:before="100" w:beforeAutospacing="1" w:after="100" w:afterAutospacing="1" w:line="240" w:lineRule="auto"/>
        <w:rPr>
          <w:rFonts w:ascii="Times New Roman" w:eastAsia="Times New Roman" w:hAnsi="Times New Roman" w:cs="Times New Roman"/>
          <w:kern w:val="0"/>
          <w14:ligatures w14:val="none"/>
        </w:rPr>
      </w:pPr>
      <w:r w:rsidRPr="00A82204">
        <w:rPr>
          <w:rFonts w:ascii="Times New Roman" w:eastAsia="Times New Roman" w:hAnsi="Times New Roman" w:cs="Times New Roman"/>
          <w:kern w:val="0"/>
          <w14:ligatures w14:val="none"/>
        </w:rPr>
        <w:t>A consistently positive IRVS indicates a persistent volatility premium, suggesting profitable opportunities for volatility sellers.</w:t>
      </w:r>
      <w:r w:rsidR="00062086">
        <w:rPr>
          <w:rFonts w:ascii="Times New Roman" w:eastAsia="Times New Roman" w:hAnsi="Times New Roman" w:cs="Times New Roman"/>
          <w:kern w:val="0"/>
          <w14:ligatures w14:val="none"/>
        </w:rPr>
        <w:t xml:space="preserve">  </w:t>
      </w:r>
      <w:r w:rsidR="00902A80">
        <w:rPr>
          <w:rFonts w:ascii="Times New Roman" w:eastAsia="Times New Roman" w:hAnsi="Times New Roman" w:cs="Times New Roman"/>
          <w:kern w:val="0"/>
          <w14:ligatures w14:val="none"/>
        </w:rPr>
        <w:t xml:space="preserve">Figures 1 and compare </w:t>
      </w:r>
      <w:r w:rsidR="00B46F06" w:rsidRPr="00B46F06">
        <w:rPr>
          <w:rFonts w:ascii="Times New Roman" w:eastAsia="Times New Roman" w:hAnsi="Times New Roman" w:cs="Times New Roman"/>
          <w:kern w:val="0"/>
          <w14:ligatures w14:val="none"/>
        </w:rPr>
        <w:t>the IRVS (and its components) for SPY and GLD.</w:t>
      </w:r>
      <w:r w:rsidR="00062086">
        <w:rPr>
          <w:rFonts w:ascii="Times New Roman" w:eastAsia="Times New Roman" w:hAnsi="Times New Roman" w:cs="Times New Roman"/>
          <w:kern w:val="0"/>
          <w14:ligatures w14:val="none"/>
        </w:rPr>
        <w:t xml:space="preserve"> </w:t>
      </w:r>
    </w:p>
    <w:p w14:paraId="159D5754" w14:textId="77777777" w:rsidR="00902A80" w:rsidRDefault="00902A80" w:rsidP="00A82204">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Both panels show similar patterns.   First, the IRVS is consistently positive, often more than 80% frequency.  Second, periods of excess (realized) volatility, while infrequent, are severe.  For instance, during market stress periods, such as March 2020, the spread turns negative and widens significantly.  In our sample the spread returns to its normal (positive) level, even if both implied (and realized) remain comparatively elevate</w:t>
      </w:r>
    </w:p>
    <w:p w14:paraId="00DA4EFF" w14:textId="77777777" w:rsidR="00902A80" w:rsidRDefault="00902A80" w:rsidP="00902A80">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715ACC0E" wp14:editId="412A0C90">
            <wp:extent cx="6935657" cy="5882325"/>
            <wp:effectExtent l="0" t="0" r="0" b="0"/>
            <wp:docPr id="20441038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3860" name="Picture 20441038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70242" cy="5996470"/>
                    </a:xfrm>
                    <a:prstGeom prst="rect">
                      <a:avLst/>
                    </a:prstGeom>
                  </pic:spPr>
                </pic:pic>
              </a:graphicData>
            </a:graphic>
          </wp:inline>
        </w:drawing>
      </w:r>
      <w:r w:rsidRPr="00902A80">
        <w:rPr>
          <w:rFonts w:ascii="Times New Roman" w:eastAsia="Times New Roman" w:hAnsi="Times New Roman" w:cs="Times New Roman"/>
          <w:kern w:val="0"/>
          <w14:ligatures w14:val="none"/>
        </w:rPr>
        <w:t xml:space="preserve"> </w:t>
      </w:r>
    </w:p>
    <w:p w14:paraId="150721AD" w14:textId="77777777" w:rsidR="00902A80" w:rsidRDefault="00902A8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35BD3018" w14:textId="5215450F" w:rsidR="00902A80" w:rsidRDefault="00902A80" w:rsidP="00902A8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Here is a summary of the IRVS components for each ticker and for an equally weighted composite.</w:t>
      </w:r>
    </w:p>
    <w:p w14:paraId="3BA98740" w14:textId="4DA3A4E4" w:rsidR="00902A80" w:rsidRDefault="00902A80">
      <w:pPr>
        <w:rPr>
          <w:rFonts w:ascii="Times New Roman" w:eastAsia="Times New Roman" w:hAnsi="Times New Roman" w:cs="Times New Roman"/>
          <w:kern w:val="0"/>
          <w14:ligatures w14:val="none"/>
        </w:rPr>
      </w:pPr>
    </w:p>
    <w:p w14:paraId="2F3BA937" w14:textId="7E19B7B5" w:rsidR="00A82204" w:rsidRDefault="00902A80" w:rsidP="00A82204">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2C26103E" wp14:editId="07A4324B">
            <wp:extent cx="6616799" cy="5542634"/>
            <wp:effectExtent l="0" t="0" r="0" b="0"/>
            <wp:docPr id="2083281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81086" name="Picture 20832810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8421" cy="5577499"/>
                    </a:xfrm>
                    <a:prstGeom prst="rect">
                      <a:avLst/>
                    </a:prstGeom>
                  </pic:spPr>
                </pic:pic>
              </a:graphicData>
            </a:graphic>
          </wp:inline>
        </w:drawing>
      </w:r>
    </w:p>
    <w:p w14:paraId="0F37FDB2" w14:textId="682BCFAD" w:rsidR="00A82204" w:rsidRPr="00A82204" w:rsidRDefault="00B46F06" w:rsidP="00902A80">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Clearly the IRVS is consistently positive across </w:t>
      </w:r>
      <w:r w:rsidR="00062086">
        <w:rPr>
          <w:rFonts w:ascii="Times New Roman" w:eastAsia="Times New Roman" w:hAnsi="Times New Roman" w:cs="Times New Roman"/>
          <w:kern w:val="0"/>
          <w14:ligatures w14:val="none"/>
        </w:rPr>
        <w:t xml:space="preserve">most ETF </w:t>
      </w:r>
      <w:r>
        <w:rPr>
          <w:rFonts w:ascii="Times New Roman" w:eastAsia="Times New Roman" w:hAnsi="Times New Roman" w:cs="Times New Roman"/>
          <w:kern w:val="0"/>
          <w14:ligatures w14:val="none"/>
        </w:rPr>
        <w:t>tickers</w:t>
      </w:r>
      <w:r w:rsidR="00062086">
        <w:rPr>
          <w:rFonts w:ascii="Times New Roman" w:eastAsia="Times New Roman" w:hAnsi="Times New Roman" w:cs="Times New Roman"/>
          <w:kern w:val="0"/>
          <w14:ligatures w14:val="none"/>
        </w:rPr>
        <w:t xml:space="preserve"> spanning </w:t>
      </w:r>
      <w:r>
        <w:rPr>
          <w:rFonts w:ascii="Times New Roman" w:eastAsia="Times New Roman" w:hAnsi="Times New Roman" w:cs="Times New Roman"/>
          <w:kern w:val="0"/>
          <w14:ligatures w14:val="none"/>
        </w:rPr>
        <w:t xml:space="preserve">disparate asset classes, even if spreads and </w:t>
      </w:r>
      <w:r w:rsidR="00062086">
        <w:rPr>
          <w:rFonts w:ascii="Times New Roman" w:eastAsia="Times New Roman" w:hAnsi="Times New Roman" w:cs="Times New Roman"/>
          <w:kern w:val="0"/>
          <w14:ligatures w14:val="none"/>
        </w:rPr>
        <w:t>their</w:t>
      </w:r>
      <w:r>
        <w:rPr>
          <w:rFonts w:ascii="Times New Roman" w:eastAsia="Times New Roman" w:hAnsi="Times New Roman" w:cs="Times New Roman"/>
          <w:kern w:val="0"/>
          <w14:ligatures w14:val="none"/>
        </w:rPr>
        <w:t xml:space="preserve"> components vary.  </w:t>
      </w:r>
    </w:p>
    <w:p w14:paraId="6A89A488" w14:textId="42A9204F" w:rsidR="00B46F06" w:rsidRDefault="00B46F06">
      <w:pPr>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br w:type="page"/>
      </w:r>
    </w:p>
    <w:p w14:paraId="672355E0" w14:textId="7A95C0C8" w:rsidR="00062086" w:rsidRPr="00062086" w:rsidRDefault="00FA34C8" w:rsidP="00062086">
      <w:pPr>
        <w:spacing w:before="100" w:beforeAutospacing="1" w:after="100" w:afterAutospacing="1" w:line="240" w:lineRule="auto"/>
        <w:outlineLvl w:val="2"/>
        <w:rPr>
          <w:rFonts w:ascii="Times New Roman" w:eastAsia="Times New Roman" w:hAnsi="Times New Roman" w:cs="Times New Roman"/>
          <w:kern w:val="0"/>
          <w14:ligatures w14:val="none"/>
        </w:rPr>
      </w:pPr>
      <w:r>
        <w:rPr>
          <w:rFonts w:ascii="Times New Roman" w:eastAsia="Times New Roman" w:hAnsi="Times New Roman" w:cs="Times New Roman"/>
          <w:b/>
          <w:bCs/>
          <w:kern w:val="0"/>
          <w:sz w:val="27"/>
          <w:szCs w:val="27"/>
          <w14:ligatures w14:val="none"/>
        </w:rPr>
        <w:lastRenderedPageBreak/>
        <w:t>5</w:t>
      </w:r>
      <w:r w:rsidR="00062086" w:rsidRPr="00062086">
        <w:rPr>
          <w:rFonts w:ascii="Times New Roman" w:eastAsia="Times New Roman" w:hAnsi="Times New Roman" w:cs="Times New Roman"/>
          <w:b/>
          <w:bCs/>
          <w:kern w:val="0"/>
          <w:sz w:val="27"/>
          <w:szCs w:val="27"/>
          <w14:ligatures w14:val="none"/>
        </w:rPr>
        <w:t>.</w:t>
      </w:r>
      <w:r w:rsidR="00062086" w:rsidRPr="00062086">
        <w:rPr>
          <w:rFonts w:ascii="Times New Roman" w:eastAsia="Times New Roman" w:hAnsi="Times New Roman" w:cs="Times New Roman"/>
          <w:b/>
          <w:bCs/>
          <w:kern w:val="0"/>
          <w:sz w:val="27"/>
          <w:szCs w:val="27"/>
          <w14:ligatures w14:val="none"/>
        </w:rPr>
        <w:tab/>
      </w:r>
      <w:r w:rsidR="00902A80">
        <w:rPr>
          <w:rFonts w:ascii="Times New Roman" w:eastAsia="Times New Roman" w:hAnsi="Times New Roman" w:cs="Times New Roman"/>
          <w:b/>
          <w:bCs/>
          <w:kern w:val="0"/>
          <w:sz w:val="27"/>
          <w:szCs w:val="27"/>
          <w14:ligatures w14:val="none"/>
        </w:rPr>
        <w:t>Strategy r</w:t>
      </w:r>
      <w:r w:rsidR="00062086">
        <w:rPr>
          <w:rFonts w:ascii="Times New Roman" w:eastAsia="Times New Roman" w:hAnsi="Times New Roman" w:cs="Times New Roman"/>
          <w:b/>
          <w:bCs/>
          <w:kern w:val="0"/>
          <w:sz w:val="27"/>
          <w:szCs w:val="27"/>
          <w14:ligatures w14:val="none"/>
        </w:rPr>
        <w:t xml:space="preserve">esults </w:t>
      </w:r>
    </w:p>
    <w:p w14:paraId="4684D0D4" w14:textId="654A758D" w:rsidR="00062086" w:rsidRDefault="00902A80"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Figures 6 through 13 provide our </w:t>
      </w:r>
      <w:r w:rsidR="00062086">
        <w:rPr>
          <w:rFonts w:ascii="Times New Roman" w:eastAsia="Times New Roman" w:hAnsi="Times New Roman" w:cs="Times New Roman"/>
          <w:kern w:val="0"/>
          <w14:ligatures w14:val="none"/>
        </w:rPr>
        <w:t>results in chart</w:t>
      </w:r>
      <w:r>
        <w:rPr>
          <w:rFonts w:ascii="Times New Roman" w:eastAsia="Times New Roman" w:hAnsi="Times New Roman" w:cs="Times New Roman"/>
          <w:kern w:val="0"/>
          <w14:ligatures w14:val="none"/>
        </w:rPr>
        <w:t xml:space="preserve"> form</w:t>
      </w:r>
      <w:r w:rsidR="00062086">
        <w:rPr>
          <w:rFonts w:ascii="Times New Roman" w:eastAsia="Times New Roman" w:hAnsi="Times New Roman" w:cs="Times New Roman"/>
          <w:kern w:val="0"/>
          <w14:ligatures w14:val="none"/>
        </w:rPr>
        <w:t xml:space="preserve">. </w:t>
      </w:r>
    </w:p>
    <w:p w14:paraId="5464077E" w14:textId="28E2BE69" w:rsidR="00062086" w:rsidRDefault="00902A80"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Figures 6 through 8 </w:t>
      </w:r>
      <w:r w:rsidR="00062086">
        <w:rPr>
          <w:rFonts w:ascii="Times New Roman" w:eastAsia="Times New Roman" w:hAnsi="Times New Roman" w:cs="Times New Roman"/>
          <w:kern w:val="0"/>
          <w14:ligatures w14:val="none"/>
        </w:rPr>
        <w:t xml:space="preserve">show </w:t>
      </w:r>
      <w:r>
        <w:rPr>
          <w:rFonts w:ascii="Times New Roman" w:eastAsia="Times New Roman" w:hAnsi="Times New Roman" w:cs="Times New Roman"/>
          <w:kern w:val="0"/>
          <w14:ligatures w14:val="none"/>
        </w:rPr>
        <w:t xml:space="preserve">the </w:t>
      </w:r>
      <w:r w:rsidR="00062086">
        <w:rPr>
          <w:rFonts w:ascii="Times New Roman" w:eastAsia="Times New Roman" w:hAnsi="Times New Roman" w:cs="Times New Roman"/>
          <w:kern w:val="0"/>
          <w14:ligatures w14:val="none"/>
        </w:rPr>
        <w:t>annualized mean, standard deviation, and Sharpe ratio</w:t>
      </w:r>
      <w:r>
        <w:rPr>
          <w:rFonts w:ascii="Times New Roman" w:eastAsia="Times New Roman" w:hAnsi="Times New Roman" w:cs="Times New Roman"/>
          <w:kern w:val="0"/>
          <w14:ligatures w14:val="none"/>
        </w:rPr>
        <w:t>s</w:t>
      </w:r>
      <w:r w:rsidR="00062086">
        <w:rPr>
          <w:rFonts w:ascii="Times New Roman" w:eastAsia="Times New Roman" w:hAnsi="Times New Roman" w:cs="Times New Roman"/>
          <w:kern w:val="0"/>
          <w14:ligatures w14:val="none"/>
        </w:rPr>
        <w:t xml:space="preserve"> for the short volatility selling strategies </w:t>
      </w:r>
      <w:r>
        <w:rPr>
          <w:rFonts w:ascii="Times New Roman" w:eastAsia="Times New Roman" w:hAnsi="Times New Roman" w:cs="Times New Roman"/>
          <w:kern w:val="0"/>
          <w14:ligatures w14:val="none"/>
        </w:rPr>
        <w:t xml:space="preserve">implemented </w:t>
      </w:r>
      <w:r w:rsidR="00062086">
        <w:rPr>
          <w:rFonts w:ascii="Times New Roman" w:eastAsia="Times New Roman" w:hAnsi="Times New Roman" w:cs="Times New Roman"/>
          <w:kern w:val="0"/>
          <w14:ligatures w14:val="none"/>
        </w:rPr>
        <w:t>on the ETFs</w:t>
      </w:r>
      <w:r>
        <w:rPr>
          <w:rFonts w:ascii="Times New Roman" w:eastAsia="Times New Roman" w:hAnsi="Times New Roman" w:cs="Times New Roman"/>
          <w:kern w:val="0"/>
          <w14:ligatures w14:val="none"/>
        </w:rPr>
        <w:t xml:space="preserve">, along with an equally weighted composite of the ETF strategies, the strategy implemented on SPY, and the returns of the </w:t>
      </w:r>
      <w:proofErr w:type="spellStart"/>
      <w:r>
        <w:rPr>
          <w:rFonts w:ascii="Times New Roman" w:eastAsia="Times New Roman" w:hAnsi="Times New Roman" w:cs="Times New Roman"/>
          <w:kern w:val="0"/>
          <w14:ligatures w14:val="none"/>
        </w:rPr>
        <w:t>SPYunderlyer</w:t>
      </w:r>
      <w:proofErr w:type="spellEnd"/>
      <w:r>
        <w:rPr>
          <w:rFonts w:ascii="Times New Roman" w:eastAsia="Times New Roman" w:hAnsi="Times New Roman" w:cs="Times New Roman"/>
          <w:kern w:val="0"/>
          <w14:ligatures w14:val="none"/>
        </w:rPr>
        <w:t xml:space="preserve"> itself.  We elected to use an equal weighting scheme because of its simplicity but clearly, owing to variation in volatilities and correlations, could be improved upon.  </w:t>
      </w:r>
      <w:r w:rsidR="00062086">
        <w:rPr>
          <w:rFonts w:ascii="Times New Roman" w:eastAsia="Times New Roman" w:hAnsi="Times New Roman" w:cs="Times New Roman"/>
          <w:kern w:val="0"/>
          <w14:ligatures w14:val="none"/>
        </w:rPr>
        <w:t>The</w:t>
      </w:r>
      <w:r>
        <w:rPr>
          <w:rFonts w:ascii="Times New Roman" w:eastAsia="Times New Roman" w:hAnsi="Times New Roman" w:cs="Times New Roman"/>
          <w:kern w:val="0"/>
          <w14:ligatures w14:val="none"/>
        </w:rPr>
        <w:t xml:space="preserve"> </w:t>
      </w:r>
      <w:r w:rsidR="00062086">
        <w:rPr>
          <w:rFonts w:ascii="Times New Roman" w:eastAsia="Times New Roman" w:hAnsi="Times New Roman" w:cs="Times New Roman"/>
          <w:kern w:val="0"/>
          <w14:ligatures w14:val="none"/>
        </w:rPr>
        <w:t xml:space="preserve">performance varies, but on average the Sharpe ratios (SRs) appear to be superior for ETFs compared to SPY.    This is especially true for HYG (which may be due simply to sampling variation </w:t>
      </w:r>
      <w:r>
        <w:rPr>
          <w:rFonts w:ascii="Times New Roman" w:eastAsia="Times New Roman" w:hAnsi="Times New Roman" w:cs="Times New Roman"/>
          <w:kern w:val="0"/>
          <w14:ligatures w14:val="none"/>
        </w:rPr>
        <w:t xml:space="preserve">with various </w:t>
      </w:r>
      <w:proofErr w:type="spellStart"/>
      <w:r w:rsidR="00062086">
        <w:rPr>
          <w:rFonts w:ascii="Times New Roman" w:eastAsia="Times New Roman" w:hAnsi="Times New Roman" w:cs="Times New Roman"/>
          <w:kern w:val="0"/>
          <w14:ligatures w14:val="none"/>
        </w:rPr>
        <w:t>underlyers</w:t>
      </w:r>
      <w:proofErr w:type="spellEnd"/>
      <w:r w:rsidR="00062086">
        <w:rPr>
          <w:rFonts w:ascii="Times New Roman" w:eastAsia="Times New Roman" w:hAnsi="Times New Roman" w:cs="Times New Roman"/>
          <w:kern w:val="0"/>
          <w14:ligatures w14:val="none"/>
        </w:rPr>
        <w:t xml:space="preserve">), </w:t>
      </w:r>
      <w:proofErr w:type="gramStart"/>
      <w:r w:rsidR="00062086">
        <w:rPr>
          <w:rFonts w:ascii="Times New Roman" w:eastAsia="Times New Roman" w:hAnsi="Times New Roman" w:cs="Times New Roman"/>
          <w:kern w:val="0"/>
          <w14:ligatures w14:val="none"/>
        </w:rPr>
        <w:t>and also</w:t>
      </w:r>
      <w:proofErr w:type="gramEnd"/>
      <w:r w:rsidR="00062086">
        <w:rPr>
          <w:rFonts w:ascii="Times New Roman" w:eastAsia="Times New Roman" w:hAnsi="Times New Roman" w:cs="Times New Roman"/>
          <w:kern w:val="0"/>
          <w14:ligatures w14:val="none"/>
        </w:rPr>
        <w:t xml:space="preserve"> for the equally weighted composite of all ETF strategies whose SR is 1.01 compared to that of SPY at 0.45.   </w:t>
      </w:r>
    </w:p>
    <w:p w14:paraId="0E2DEAC4" w14:textId="6EBDD674" w:rsidR="00062086" w:rsidRDefault="00902A80"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Figures 9 and 10</w:t>
      </w:r>
      <w:r w:rsidR="00062086">
        <w:rPr>
          <w:rFonts w:ascii="Times New Roman" w:eastAsia="Times New Roman" w:hAnsi="Times New Roman" w:cs="Times New Roman"/>
          <w:kern w:val="0"/>
          <w14:ligatures w14:val="none"/>
        </w:rPr>
        <w:t xml:space="preserve"> show skew and kurtosis.  </w:t>
      </w:r>
      <w:r>
        <w:rPr>
          <w:rFonts w:ascii="Times New Roman" w:eastAsia="Times New Roman" w:hAnsi="Times New Roman" w:cs="Times New Roman"/>
          <w:kern w:val="0"/>
          <w14:ligatures w14:val="none"/>
        </w:rPr>
        <w:t>W</w:t>
      </w:r>
      <w:r w:rsidR="00062086">
        <w:rPr>
          <w:rFonts w:ascii="Times New Roman" w:eastAsia="Times New Roman" w:hAnsi="Times New Roman" w:cs="Times New Roman"/>
          <w:kern w:val="0"/>
          <w14:ligatures w14:val="none"/>
        </w:rPr>
        <w:t xml:space="preserve">hile there is again variation across </w:t>
      </w:r>
      <w:proofErr w:type="spellStart"/>
      <w:r w:rsidR="00062086">
        <w:rPr>
          <w:rFonts w:ascii="Times New Roman" w:eastAsia="Times New Roman" w:hAnsi="Times New Roman" w:cs="Times New Roman"/>
          <w:kern w:val="0"/>
          <w14:ligatures w14:val="none"/>
        </w:rPr>
        <w:t>underlyers</w:t>
      </w:r>
      <w:proofErr w:type="spellEnd"/>
      <w:r w:rsidR="00062086">
        <w:rPr>
          <w:rFonts w:ascii="Times New Roman" w:eastAsia="Times New Roman" w:hAnsi="Times New Roman" w:cs="Times New Roman"/>
          <w:kern w:val="0"/>
          <w14:ligatures w14:val="none"/>
        </w:rPr>
        <w:t xml:space="preserve"> (and an anomaly in the case of IEF), all strategies entail negative skew.  Th</w:t>
      </w:r>
      <w:r>
        <w:rPr>
          <w:rFonts w:ascii="Times New Roman" w:eastAsia="Times New Roman" w:hAnsi="Times New Roman" w:cs="Times New Roman"/>
          <w:kern w:val="0"/>
          <w14:ligatures w14:val="none"/>
        </w:rPr>
        <w:t xml:space="preserve">e disparity in </w:t>
      </w:r>
      <w:r w:rsidR="00062086">
        <w:rPr>
          <w:rFonts w:ascii="Times New Roman" w:eastAsia="Times New Roman" w:hAnsi="Times New Roman" w:cs="Times New Roman"/>
          <w:kern w:val="0"/>
          <w14:ligatures w14:val="none"/>
        </w:rPr>
        <w:t xml:space="preserve">average magnitude is especially pronounced compared to SPY underlying. </w:t>
      </w:r>
    </w:p>
    <w:p w14:paraId="68737417" w14:textId="39BD92E7" w:rsidR="00062086" w:rsidRDefault="00062086"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An analogous story is told by the kurtosis figures.  This measure of tail risk is outsized, even nightmarish, for the option selling strategies (with again a single extreme anomaly, here in the case of XLF), and they are especially outsized relative to the sole </w:t>
      </w:r>
      <w:proofErr w:type="spellStart"/>
      <w:r>
        <w:rPr>
          <w:rFonts w:ascii="Times New Roman" w:eastAsia="Times New Roman" w:hAnsi="Times New Roman" w:cs="Times New Roman"/>
          <w:kern w:val="0"/>
          <w14:ligatures w14:val="none"/>
        </w:rPr>
        <w:t>underlyer</w:t>
      </w:r>
      <w:proofErr w:type="spellEnd"/>
      <w:r>
        <w:rPr>
          <w:rFonts w:ascii="Times New Roman" w:eastAsia="Times New Roman" w:hAnsi="Times New Roman" w:cs="Times New Roman"/>
          <w:kern w:val="0"/>
          <w14:ligatures w14:val="none"/>
        </w:rPr>
        <w:t xml:space="preserve"> surveyed, SPY.   </w:t>
      </w:r>
      <w:r w:rsidR="00902A80">
        <w:rPr>
          <w:rFonts w:ascii="Times New Roman" w:eastAsia="Times New Roman" w:hAnsi="Times New Roman" w:cs="Times New Roman"/>
          <w:kern w:val="0"/>
          <w14:ligatures w14:val="none"/>
        </w:rPr>
        <w:t xml:space="preserve"> This emphasizes the need for pooling and diversification to reduce the </w:t>
      </w:r>
      <w:proofErr w:type="spellStart"/>
      <w:r w:rsidR="00902A80">
        <w:rPr>
          <w:rFonts w:ascii="Times New Roman" w:eastAsia="Times New Roman" w:hAnsi="Times New Roman" w:cs="Times New Roman"/>
          <w:kern w:val="0"/>
          <w14:ligatures w14:val="none"/>
        </w:rPr>
        <w:t>effecti</w:t>
      </w:r>
      <w:proofErr w:type="spellEnd"/>
      <w:r w:rsidR="00902A80">
        <w:rPr>
          <w:rFonts w:ascii="Times New Roman" w:eastAsia="Times New Roman" w:hAnsi="Times New Roman" w:cs="Times New Roman"/>
          <w:kern w:val="0"/>
          <w14:ligatures w14:val="none"/>
        </w:rPr>
        <w:t xml:space="preserve"> idiosyncratic outliers.</w:t>
      </w:r>
    </w:p>
    <w:p w14:paraId="6B979B99" w14:textId="4C70FEA2" w:rsidR="00062086" w:rsidRDefault="00062086"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 lieu of a voluminous correlation matrix, </w:t>
      </w:r>
      <w:r w:rsidR="00902A80">
        <w:rPr>
          <w:rFonts w:ascii="Times New Roman" w:eastAsia="Times New Roman" w:hAnsi="Times New Roman" w:cs="Times New Roman"/>
          <w:kern w:val="0"/>
          <w14:ligatures w14:val="none"/>
        </w:rPr>
        <w:t xml:space="preserve">Figures 11 and </w:t>
      </w:r>
      <w:proofErr w:type="gramStart"/>
      <w:r w:rsidR="00902A80">
        <w:rPr>
          <w:rFonts w:ascii="Times New Roman" w:eastAsia="Times New Roman" w:hAnsi="Times New Roman" w:cs="Times New Roman"/>
          <w:kern w:val="0"/>
          <w14:ligatures w14:val="none"/>
        </w:rPr>
        <w:t xml:space="preserve">12 </w:t>
      </w:r>
      <w:r>
        <w:rPr>
          <w:rFonts w:ascii="Times New Roman" w:eastAsia="Times New Roman" w:hAnsi="Times New Roman" w:cs="Times New Roman"/>
          <w:kern w:val="0"/>
          <w14:ligatures w14:val="none"/>
        </w:rPr>
        <w:t xml:space="preserve"> show</w:t>
      </w:r>
      <w:proofErr w:type="gramEnd"/>
      <w:r>
        <w:rPr>
          <w:rFonts w:ascii="Times New Roman" w:eastAsia="Times New Roman" w:hAnsi="Times New Roman" w:cs="Times New Roman"/>
          <w:kern w:val="0"/>
          <w14:ligatures w14:val="none"/>
        </w:rPr>
        <w:t xml:space="preserve"> correlations with the SPY strategy </w:t>
      </w:r>
      <w:proofErr w:type="gramStart"/>
      <w:r>
        <w:rPr>
          <w:rFonts w:ascii="Times New Roman" w:eastAsia="Times New Roman" w:hAnsi="Times New Roman" w:cs="Times New Roman"/>
          <w:kern w:val="0"/>
          <w14:ligatures w14:val="none"/>
        </w:rPr>
        <w:t>and also</w:t>
      </w:r>
      <w:proofErr w:type="gramEnd"/>
      <w:r>
        <w:rPr>
          <w:rFonts w:ascii="Times New Roman" w:eastAsia="Times New Roman" w:hAnsi="Times New Roman" w:cs="Times New Roman"/>
          <w:kern w:val="0"/>
          <w14:ligatures w14:val="none"/>
        </w:rPr>
        <w:t xml:space="preserve"> SPY </w:t>
      </w:r>
      <w:proofErr w:type="spellStart"/>
      <w:r>
        <w:rPr>
          <w:rFonts w:ascii="Times New Roman" w:eastAsia="Times New Roman" w:hAnsi="Times New Roman" w:cs="Times New Roman"/>
          <w:kern w:val="0"/>
          <w14:ligatures w14:val="none"/>
        </w:rPr>
        <w:t>underlyer</w:t>
      </w:r>
      <w:proofErr w:type="spellEnd"/>
      <w:r>
        <w:rPr>
          <w:rFonts w:ascii="Times New Roman" w:eastAsia="Times New Roman" w:hAnsi="Times New Roman" w:cs="Times New Roman"/>
          <w:kern w:val="0"/>
          <w14:ligatures w14:val="none"/>
        </w:rPr>
        <w:t>.   Clearly the average correlation is significant a</w:t>
      </w:r>
      <w:r w:rsidR="00902A80">
        <w:rPr>
          <w:rFonts w:ascii="Times New Roman" w:eastAsia="Times New Roman" w:hAnsi="Times New Roman" w:cs="Times New Roman"/>
          <w:kern w:val="0"/>
          <w14:ligatures w14:val="none"/>
        </w:rPr>
        <w:t>nd subjectively high at</w:t>
      </w:r>
      <w:r>
        <w:rPr>
          <w:rFonts w:ascii="Times New Roman" w:eastAsia="Times New Roman" w:hAnsi="Times New Roman" w:cs="Times New Roman"/>
          <w:kern w:val="0"/>
          <w14:ligatures w14:val="none"/>
        </w:rPr>
        <w:t xml:space="preserve"> 0.71, althou</w:t>
      </w:r>
      <w:r w:rsidR="00902A80">
        <w:rPr>
          <w:rFonts w:ascii="Times New Roman" w:eastAsia="Times New Roman" w:hAnsi="Times New Roman" w:cs="Times New Roman"/>
          <w:kern w:val="0"/>
          <w14:ligatures w14:val="none"/>
        </w:rPr>
        <w:t xml:space="preserve">gh diversification benefits are still possible. </w:t>
      </w:r>
    </w:p>
    <w:p w14:paraId="292FBFF1" w14:textId="1D1556C5" w:rsidR="00062086" w:rsidRDefault="00902A80"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Finally Figure 13 </w:t>
      </w:r>
      <w:r w:rsidR="00062086">
        <w:rPr>
          <w:rFonts w:ascii="Times New Roman" w:eastAsia="Times New Roman" w:hAnsi="Times New Roman" w:cs="Times New Roman"/>
          <w:kern w:val="0"/>
          <w14:ligatures w14:val="none"/>
        </w:rPr>
        <w:t xml:space="preserve">shows a growth-in-NAV comparison of two strategies, one the </w:t>
      </w:r>
      <w:proofErr w:type="gramStart"/>
      <w:r w:rsidR="00062086">
        <w:rPr>
          <w:rFonts w:ascii="Times New Roman" w:eastAsia="Times New Roman" w:hAnsi="Times New Roman" w:cs="Times New Roman"/>
          <w:kern w:val="0"/>
          <w14:ligatures w14:val="none"/>
        </w:rPr>
        <w:t>equally-weighted</w:t>
      </w:r>
      <w:proofErr w:type="gramEnd"/>
      <w:r w:rsidR="00062086">
        <w:rPr>
          <w:rFonts w:ascii="Times New Roman" w:eastAsia="Times New Roman" w:hAnsi="Times New Roman" w:cs="Times New Roman"/>
          <w:kern w:val="0"/>
          <w14:ligatures w14:val="none"/>
        </w:rPr>
        <w:t xml:space="preserve"> strategy of all tickers, the other the strategy on SPY.  The high correlation is evident – but so is the outperformance associated with the ETF strategy. </w:t>
      </w:r>
    </w:p>
    <w:p w14:paraId="34FD3E3F" w14:textId="77777777" w:rsidR="00902A80" w:rsidRDefault="00902A80" w:rsidP="00062086">
      <w:pPr>
        <w:spacing w:before="100" w:beforeAutospacing="1" w:after="100" w:afterAutospacing="1" w:line="240" w:lineRule="auto"/>
        <w:rPr>
          <w:rFonts w:ascii="Times New Roman" w:eastAsia="Times New Roman" w:hAnsi="Times New Roman" w:cs="Times New Roman"/>
          <w:kern w:val="0"/>
          <w14:ligatures w14:val="none"/>
        </w:rPr>
      </w:pPr>
    </w:p>
    <w:p w14:paraId="36F800D8" w14:textId="6345383B" w:rsidR="00902A80" w:rsidRDefault="00902A80"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718B207F" wp14:editId="1D2AA261">
            <wp:extent cx="6309360" cy="6658610"/>
            <wp:effectExtent l="0" t="0" r="2540" b="0"/>
            <wp:docPr id="10335426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2631" name="Picture 10335426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6658610"/>
                    </a:xfrm>
                    <a:prstGeom prst="rect">
                      <a:avLst/>
                    </a:prstGeom>
                  </pic:spPr>
                </pic:pic>
              </a:graphicData>
            </a:graphic>
          </wp:inline>
        </w:drawing>
      </w:r>
    </w:p>
    <w:p w14:paraId="457563AD" w14:textId="7FB402D3" w:rsidR="00902A80" w:rsidRDefault="00902A80"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37DD46B9" wp14:editId="6D2E1D65">
            <wp:extent cx="6309360" cy="5478780"/>
            <wp:effectExtent l="0" t="0" r="2540" b="0"/>
            <wp:docPr id="18123117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11799" name="Picture 18123117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5478780"/>
                    </a:xfrm>
                    <a:prstGeom prst="rect">
                      <a:avLst/>
                    </a:prstGeom>
                  </pic:spPr>
                </pic:pic>
              </a:graphicData>
            </a:graphic>
          </wp:inline>
        </w:drawing>
      </w:r>
    </w:p>
    <w:p w14:paraId="71783548" w14:textId="4BBD8D46" w:rsidR="00B46F06" w:rsidRPr="00062086" w:rsidRDefault="00902A80" w:rsidP="0006208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41E18B19" wp14:editId="15E42A0E">
            <wp:extent cx="6309360" cy="5340985"/>
            <wp:effectExtent l="0" t="0" r="2540" b="5715"/>
            <wp:docPr id="7315454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45490" name="Picture 7315454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5340985"/>
                    </a:xfrm>
                    <a:prstGeom prst="rect">
                      <a:avLst/>
                    </a:prstGeom>
                  </pic:spPr>
                </pic:pic>
              </a:graphicData>
            </a:graphic>
          </wp:inline>
        </w:drawing>
      </w:r>
    </w:p>
    <w:p w14:paraId="5827493E" w14:textId="5AB29B44" w:rsidR="00B46F06" w:rsidRDefault="00902A80" w:rsidP="00A822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lastRenderedPageBreak/>
        <w:drawing>
          <wp:inline distT="0" distB="0" distL="0" distR="0" wp14:anchorId="10FB7771" wp14:editId="1D105045">
            <wp:extent cx="6309360" cy="3594735"/>
            <wp:effectExtent l="0" t="0" r="2540" b="0"/>
            <wp:docPr id="1684382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82103" name="Picture 16843821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3594735"/>
                    </a:xfrm>
                    <a:prstGeom prst="rect">
                      <a:avLst/>
                    </a:prstGeom>
                  </pic:spPr>
                </pic:pic>
              </a:graphicData>
            </a:graphic>
          </wp:inline>
        </w:drawing>
      </w:r>
    </w:p>
    <w:p w14:paraId="64310D5B" w14:textId="479B6DE8" w:rsidR="00A82204" w:rsidRPr="00A82204" w:rsidRDefault="00A82204" w:rsidP="00A82204">
      <w:pPr>
        <w:spacing w:before="100" w:beforeAutospacing="1" w:after="100" w:afterAutospacing="1" w:line="240" w:lineRule="auto"/>
        <w:rPr>
          <w:rFonts w:ascii="Times New Roman" w:eastAsia="Times New Roman" w:hAnsi="Times New Roman" w:cs="Times New Roman"/>
          <w:kern w:val="0"/>
          <w14:ligatures w14:val="none"/>
        </w:rPr>
      </w:pPr>
    </w:p>
    <w:p w14:paraId="43F15C90" w14:textId="65DA051A" w:rsidR="00B46F06" w:rsidRPr="00B46F06" w:rsidRDefault="00FA34C8" w:rsidP="00062086">
      <w:pPr>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6</w:t>
      </w:r>
      <w:r w:rsidR="00B46F06">
        <w:rPr>
          <w:rFonts w:ascii="Times New Roman" w:eastAsia="Times New Roman" w:hAnsi="Times New Roman" w:cs="Times New Roman"/>
          <w:b/>
          <w:bCs/>
          <w:kern w:val="0"/>
          <w:sz w:val="36"/>
          <w:szCs w:val="36"/>
          <w14:ligatures w14:val="none"/>
        </w:rPr>
        <w:t>.</w:t>
      </w:r>
      <w:r w:rsidR="00B46F06">
        <w:rPr>
          <w:rFonts w:ascii="Times New Roman" w:eastAsia="Times New Roman" w:hAnsi="Times New Roman" w:cs="Times New Roman"/>
          <w:b/>
          <w:bCs/>
          <w:kern w:val="0"/>
          <w:sz w:val="36"/>
          <w:szCs w:val="36"/>
          <w14:ligatures w14:val="none"/>
        </w:rPr>
        <w:tab/>
      </w:r>
      <w:r w:rsidR="00B46F06" w:rsidRPr="00B46F06">
        <w:rPr>
          <w:rFonts w:ascii="Times New Roman" w:eastAsia="Times New Roman" w:hAnsi="Times New Roman" w:cs="Times New Roman"/>
          <w:b/>
          <w:bCs/>
          <w:kern w:val="0"/>
          <w:sz w:val="36"/>
          <w:szCs w:val="36"/>
          <w14:ligatures w14:val="none"/>
        </w:rPr>
        <w:t>Additional Considerations and Future Research</w:t>
      </w:r>
    </w:p>
    <w:p w14:paraId="46FD8A65" w14:textId="3F1ED64E" w:rsidR="00062086" w:rsidRDefault="00062086" w:rsidP="00062086">
      <w:pPr>
        <w:spacing w:before="100" w:beforeAutospacing="1" w:after="100" w:afterAutospacing="1" w:line="240" w:lineRule="auto"/>
        <w:rPr>
          <w:rFonts w:ascii="Times New Roman" w:hAnsi="Times New Roman" w:cs="Times New Roman"/>
        </w:rPr>
      </w:pPr>
      <w:r w:rsidRPr="00062086">
        <w:rPr>
          <w:rFonts w:ascii="Times New Roman" w:hAnsi="Times New Roman" w:cs="Times New Roman"/>
        </w:rPr>
        <w:t xml:space="preserve">The short delta-hedged straddle </w:t>
      </w:r>
      <w:r w:rsidR="00902A80">
        <w:rPr>
          <w:rFonts w:ascii="Times New Roman" w:hAnsi="Times New Roman" w:cs="Times New Roman"/>
        </w:rPr>
        <w:t xml:space="preserve">that offers exposure to volatility dynamics and is relatively </w:t>
      </w:r>
      <w:r w:rsidRPr="00062086">
        <w:rPr>
          <w:rFonts w:ascii="Times New Roman" w:hAnsi="Times New Roman" w:cs="Times New Roman"/>
        </w:rPr>
        <w:t>straightforward</w:t>
      </w:r>
      <w:r w:rsidR="00902A80">
        <w:rPr>
          <w:rFonts w:ascii="Times New Roman" w:hAnsi="Times New Roman" w:cs="Times New Roman"/>
        </w:rPr>
        <w:t xml:space="preserve"> to implement.  However, given the significant tail risk of these strategies, both individually and in the composite, other defined risk approaches (such as credit spreads or iron flies) may be more attractive alternatives</w:t>
      </w:r>
      <w:r w:rsidRPr="00062086">
        <w:rPr>
          <w:rFonts w:ascii="Times New Roman" w:hAnsi="Times New Roman" w:cs="Times New Roman"/>
        </w:rPr>
        <w:t xml:space="preserve"> </w:t>
      </w:r>
    </w:p>
    <w:p w14:paraId="572ED5B3" w14:textId="38F82ABE" w:rsidR="00062086" w:rsidRDefault="00062086" w:rsidP="00062086">
      <w:pPr>
        <w:spacing w:before="100" w:beforeAutospacing="1" w:after="100" w:afterAutospacing="1" w:line="240" w:lineRule="auto"/>
        <w:rPr>
          <w:rFonts w:ascii="Times New Roman" w:hAnsi="Times New Roman" w:cs="Times New Roman"/>
        </w:rPr>
      </w:pPr>
      <w:r w:rsidRPr="00062086">
        <w:rPr>
          <w:rFonts w:ascii="Times New Roman" w:hAnsi="Times New Roman" w:cs="Times New Roman"/>
        </w:rPr>
        <w:t>Liquidity remains an important consideration, since multi-leg strategies depend on adequate bid-ask spreads across</w:t>
      </w:r>
      <w:r w:rsidR="00902A80">
        <w:rPr>
          <w:rFonts w:ascii="Times New Roman" w:hAnsi="Times New Roman" w:cs="Times New Roman"/>
        </w:rPr>
        <w:t xml:space="preserve"> several</w:t>
      </w:r>
      <w:r w:rsidRPr="00062086">
        <w:rPr>
          <w:rFonts w:ascii="Times New Roman" w:hAnsi="Times New Roman" w:cs="Times New Roman"/>
        </w:rPr>
        <w:t xml:space="preserve"> strikes, and ETF option liquidity</w:t>
      </w:r>
      <w:r w:rsidR="00902A80">
        <w:rPr>
          <w:rFonts w:ascii="Times New Roman" w:hAnsi="Times New Roman" w:cs="Times New Roman"/>
        </w:rPr>
        <w:t>, while impressive, is often markedly less than that of SPY</w:t>
      </w:r>
      <w:r w:rsidRPr="00062086">
        <w:rPr>
          <w:rFonts w:ascii="Times New Roman" w:hAnsi="Times New Roman" w:cs="Times New Roman"/>
        </w:rPr>
        <w:t xml:space="preserve">. </w:t>
      </w:r>
    </w:p>
    <w:p w14:paraId="4F2883AE" w14:textId="544D9375" w:rsidR="00062086" w:rsidRDefault="00062086" w:rsidP="00062086">
      <w:pPr>
        <w:spacing w:before="100" w:beforeAutospacing="1" w:after="100" w:afterAutospacing="1" w:line="240" w:lineRule="auto"/>
        <w:rPr>
          <w:rFonts w:ascii="Times New Roman" w:hAnsi="Times New Roman" w:cs="Times New Roman"/>
        </w:rPr>
      </w:pPr>
      <w:r w:rsidRPr="00062086">
        <w:rPr>
          <w:rFonts w:ascii="Times New Roman" w:hAnsi="Times New Roman" w:cs="Times New Roman"/>
        </w:rPr>
        <w:t xml:space="preserve">Transaction costs must also be weighed carefully, as </w:t>
      </w:r>
      <w:r w:rsidR="00902A80">
        <w:rPr>
          <w:rFonts w:ascii="Times New Roman" w:hAnsi="Times New Roman" w:cs="Times New Roman"/>
        </w:rPr>
        <w:t xml:space="preserve">option </w:t>
      </w:r>
      <w:r w:rsidRPr="00062086">
        <w:rPr>
          <w:rFonts w:ascii="Times New Roman" w:hAnsi="Times New Roman" w:cs="Times New Roman"/>
        </w:rPr>
        <w:t xml:space="preserve">strategies typically entail higher implementation costs relative to simpler </w:t>
      </w:r>
      <w:r w:rsidR="00902A80">
        <w:rPr>
          <w:rFonts w:ascii="Times New Roman" w:hAnsi="Times New Roman" w:cs="Times New Roman"/>
        </w:rPr>
        <w:t>strategies based on primary instruments</w:t>
      </w:r>
      <w:r w:rsidRPr="00062086">
        <w:rPr>
          <w:rFonts w:ascii="Times New Roman" w:hAnsi="Times New Roman" w:cs="Times New Roman"/>
        </w:rPr>
        <w:t xml:space="preserve">. </w:t>
      </w:r>
    </w:p>
    <w:p w14:paraId="0DBE2330" w14:textId="77777777" w:rsidR="00062086" w:rsidRDefault="00062086" w:rsidP="00062086">
      <w:pPr>
        <w:spacing w:before="100" w:beforeAutospacing="1" w:after="100" w:afterAutospacing="1" w:line="240" w:lineRule="auto"/>
        <w:rPr>
          <w:rFonts w:ascii="Times New Roman" w:hAnsi="Times New Roman" w:cs="Times New Roman"/>
        </w:rPr>
      </w:pPr>
      <w:r w:rsidRPr="00062086">
        <w:rPr>
          <w:rFonts w:ascii="Times New Roman" w:hAnsi="Times New Roman" w:cs="Times New Roman"/>
        </w:rPr>
        <w:t xml:space="preserve">Portfolio integration is influenced by correlations with existing holdings, and sector-specific ETFs may provide opportunities to complement or hedge current exposures. </w:t>
      </w:r>
    </w:p>
    <w:p w14:paraId="05DE23A8" w14:textId="7722ABE4" w:rsidR="00B46F06" w:rsidRDefault="00062086" w:rsidP="00902A80">
      <w:pPr>
        <w:spacing w:before="100" w:beforeAutospacing="1" w:after="100" w:afterAutospacing="1" w:line="240" w:lineRule="auto"/>
        <w:rPr>
          <w:rFonts w:ascii="Times New Roman" w:eastAsia="Times New Roman" w:hAnsi="Times New Roman" w:cs="Times New Roman"/>
          <w:kern w:val="0"/>
          <w14:ligatures w14:val="none"/>
        </w:rPr>
      </w:pPr>
      <w:r w:rsidRPr="00062086">
        <w:rPr>
          <w:rFonts w:ascii="Times New Roman" w:hAnsi="Times New Roman" w:cs="Times New Roman"/>
        </w:rPr>
        <w:t>Finally, alternative weighting schemes—such as market-cap weighted, volatility-adjusted, and covariance-based composites—warrant analysis to assess their relative effectiveness in supporting the strategy.</w:t>
      </w:r>
    </w:p>
    <w:sectPr w:rsidR="00B46F06" w:rsidSect="00062086">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815D3B" w14:textId="77777777" w:rsidR="00BB4BF1" w:rsidRDefault="00BB4BF1" w:rsidP="00062086">
      <w:pPr>
        <w:spacing w:after="0" w:line="240" w:lineRule="auto"/>
      </w:pPr>
      <w:r>
        <w:separator/>
      </w:r>
    </w:p>
  </w:endnote>
  <w:endnote w:type="continuationSeparator" w:id="0">
    <w:p w14:paraId="3592FD69" w14:textId="77777777" w:rsidR="00BB4BF1" w:rsidRDefault="00BB4BF1" w:rsidP="00062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A4CA3" w14:textId="77777777" w:rsidR="00BB4BF1" w:rsidRDefault="00BB4BF1" w:rsidP="00062086">
      <w:pPr>
        <w:spacing w:after="0" w:line="240" w:lineRule="auto"/>
      </w:pPr>
      <w:r>
        <w:separator/>
      </w:r>
    </w:p>
  </w:footnote>
  <w:footnote w:type="continuationSeparator" w:id="0">
    <w:p w14:paraId="4F9B8912" w14:textId="77777777" w:rsidR="00BB4BF1" w:rsidRDefault="00BB4BF1" w:rsidP="00062086">
      <w:pPr>
        <w:spacing w:after="0" w:line="240" w:lineRule="auto"/>
      </w:pPr>
      <w:r>
        <w:continuationSeparator/>
      </w:r>
    </w:p>
  </w:footnote>
  <w:footnote w:id="1">
    <w:p w14:paraId="00978A7E" w14:textId="55EB1078" w:rsidR="00062086" w:rsidRPr="00062086" w:rsidRDefault="00062086" w:rsidP="00062086">
      <w:pPr>
        <w:spacing w:before="100" w:beforeAutospacing="1" w:after="100" w:afterAutospacing="1" w:line="240" w:lineRule="auto"/>
        <w:rPr>
          <w:rFonts w:ascii="Times New Roman" w:eastAsia="Times New Roman" w:hAnsi="Times New Roman" w:cs="Times New Roman"/>
          <w:kern w:val="0"/>
          <w14:ligatures w14:val="none"/>
        </w:rPr>
      </w:pPr>
      <w:r>
        <w:rPr>
          <w:rStyle w:val="FootnoteReference"/>
        </w:rPr>
        <w:footnoteRef/>
      </w:r>
      <w:r>
        <w:t xml:space="preserve"> </w:t>
      </w:r>
      <w:proofErr w:type="spellStart"/>
      <w:r w:rsidRPr="00A82204">
        <w:rPr>
          <w:rFonts w:ascii="Times New Roman" w:eastAsia="Times New Roman" w:hAnsi="Times New Roman" w:cs="Times New Roman"/>
          <w:kern w:val="0"/>
          <w14:ligatures w14:val="none"/>
        </w:rPr>
        <w:t>Ilmanen</w:t>
      </w:r>
      <w:proofErr w:type="spellEnd"/>
      <w:r w:rsidRPr="00A82204">
        <w:rPr>
          <w:rFonts w:ascii="Times New Roman" w:eastAsia="Times New Roman" w:hAnsi="Times New Roman" w:cs="Times New Roman"/>
          <w:kern w:val="0"/>
          <w14:ligatures w14:val="none"/>
        </w:rPr>
        <w:t xml:space="preserve">, A. (2011). </w:t>
      </w:r>
      <w:r w:rsidRPr="00A82204">
        <w:rPr>
          <w:rFonts w:ascii="Times New Roman" w:eastAsia="Times New Roman" w:hAnsi="Times New Roman" w:cs="Times New Roman"/>
          <w:i/>
          <w:iCs/>
          <w:kern w:val="0"/>
          <w14:ligatures w14:val="none"/>
        </w:rPr>
        <w:t>Expected Returns: An Investor's Guide to Harvesting Market Rewards</w:t>
      </w:r>
      <w:r w:rsidRPr="00A82204">
        <w:rPr>
          <w:rFonts w:ascii="Times New Roman" w:eastAsia="Times New Roman" w:hAnsi="Times New Roman" w:cs="Times New Roman"/>
          <w:kern w:val="0"/>
          <w14:ligatures w14:val="none"/>
        </w:rPr>
        <w:t>. John Wiley &amp; Sons. [Particularly Chapter 15: Volatility as an Asset Class]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4A01"/>
    <w:multiLevelType w:val="multilevel"/>
    <w:tmpl w:val="A422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53F5A"/>
    <w:multiLevelType w:val="multilevel"/>
    <w:tmpl w:val="2094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37BAF"/>
    <w:multiLevelType w:val="multilevel"/>
    <w:tmpl w:val="6996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C1862"/>
    <w:multiLevelType w:val="multilevel"/>
    <w:tmpl w:val="2FB6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464D00"/>
    <w:multiLevelType w:val="multilevel"/>
    <w:tmpl w:val="8180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2E5594"/>
    <w:multiLevelType w:val="multilevel"/>
    <w:tmpl w:val="8A8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E41D31"/>
    <w:multiLevelType w:val="multilevel"/>
    <w:tmpl w:val="4B72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4F5006"/>
    <w:multiLevelType w:val="multilevel"/>
    <w:tmpl w:val="5E32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2F5637"/>
    <w:multiLevelType w:val="multilevel"/>
    <w:tmpl w:val="7634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0B0C4F"/>
    <w:multiLevelType w:val="multilevel"/>
    <w:tmpl w:val="E0D2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C2148E"/>
    <w:multiLevelType w:val="hybridMultilevel"/>
    <w:tmpl w:val="9DB821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B8C418E"/>
    <w:multiLevelType w:val="multilevel"/>
    <w:tmpl w:val="627E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263C63"/>
    <w:multiLevelType w:val="multilevel"/>
    <w:tmpl w:val="B7B2B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906889"/>
    <w:multiLevelType w:val="multilevel"/>
    <w:tmpl w:val="2C7E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D425B6"/>
    <w:multiLevelType w:val="multilevel"/>
    <w:tmpl w:val="BDE6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EB1304"/>
    <w:multiLevelType w:val="multilevel"/>
    <w:tmpl w:val="5AC6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003ABA"/>
    <w:multiLevelType w:val="multilevel"/>
    <w:tmpl w:val="6038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557E4D"/>
    <w:multiLevelType w:val="multilevel"/>
    <w:tmpl w:val="4878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A30338"/>
    <w:multiLevelType w:val="multilevel"/>
    <w:tmpl w:val="62E8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9754571">
    <w:abstractNumId w:val="8"/>
  </w:num>
  <w:num w:numId="2" w16cid:durableId="441801336">
    <w:abstractNumId w:val="13"/>
  </w:num>
  <w:num w:numId="3" w16cid:durableId="1018502727">
    <w:abstractNumId w:val="0"/>
  </w:num>
  <w:num w:numId="4" w16cid:durableId="1055743007">
    <w:abstractNumId w:val="4"/>
  </w:num>
  <w:num w:numId="5" w16cid:durableId="778453493">
    <w:abstractNumId w:val="9"/>
  </w:num>
  <w:num w:numId="6" w16cid:durableId="1287616258">
    <w:abstractNumId w:val="1"/>
  </w:num>
  <w:num w:numId="7" w16cid:durableId="666250171">
    <w:abstractNumId w:val="7"/>
  </w:num>
  <w:num w:numId="8" w16cid:durableId="33778546">
    <w:abstractNumId w:val="15"/>
  </w:num>
  <w:num w:numId="9" w16cid:durableId="590311059">
    <w:abstractNumId w:val="6"/>
  </w:num>
  <w:num w:numId="10" w16cid:durableId="1615136343">
    <w:abstractNumId w:val="5"/>
  </w:num>
  <w:num w:numId="11" w16cid:durableId="1144736593">
    <w:abstractNumId w:val="16"/>
  </w:num>
  <w:num w:numId="12" w16cid:durableId="209458383">
    <w:abstractNumId w:val="3"/>
  </w:num>
  <w:num w:numId="13" w16cid:durableId="1276214135">
    <w:abstractNumId w:val="2"/>
  </w:num>
  <w:num w:numId="14" w16cid:durableId="1451902175">
    <w:abstractNumId w:val="11"/>
  </w:num>
  <w:num w:numId="15" w16cid:durableId="883634117">
    <w:abstractNumId w:val="18"/>
  </w:num>
  <w:num w:numId="16" w16cid:durableId="1366952892">
    <w:abstractNumId w:val="12"/>
  </w:num>
  <w:num w:numId="17" w16cid:durableId="2033727117">
    <w:abstractNumId w:val="14"/>
  </w:num>
  <w:num w:numId="18" w16cid:durableId="2133863642">
    <w:abstractNumId w:val="17"/>
  </w:num>
  <w:num w:numId="19" w16cid:durableId="1550529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204"/>
    <w:rsid w:val="00062086"/>
    <w:rsid w:val="000C7116"/>
    <w:rsid w:val="00113175"/>
    <w:rsid w:val="00243CC9"/>
    <w:rsid w:val="003042A8"/>
    <w:rsid w:val="00351F9E"/>
    <w:rsid w:val="003A7650"/>
    <w:rsid w:val="004F2E69"/>
    <w:rsid w:val="00603446"/>
    <w:rsid w:val="006A167D"/>
    <w:rsid w:val="00817D53"/>
    <w:rsid w:val="008350D2"/>
    <w:rsid w:val="008D3A4D"/>
    <w:rsid w:val="00902A80"/>
    <w:rsid w:val="00A82204"/>
    <w:rsid w:val="00AB1048"/>
    <w:rsid w:val="00AE1C1C"/>
    <w:rsid w:val="00B46F06"/>
    <w:rsid w:val="00BB4BF1"/>
    <w:rsid w:val="00BE7864"/>
    <w:rsid w:val="00C33B01"/>
    <w:rsid w:val="00C74E23"/>
    <w:rsid w:val="00D579BE"/>
    <w:rsid w:val="00D7118F"/>
    <w:rsid w:val="00D92C22"/>
    <w:rsid w:val="00E44381"/>
    <w:rsid w:val="00E53E8E"/>
    <w:rsid w:val="00EB7846"/>
    <w:rsid w:val="00FA3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D27E5"/>
  <w15:chartTrackingRefBased/>
  <w15:docId w15:val="{A04D6506-E641-DB45-955E-58E6ED234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086"/>
  </w:style>
  <w:style w:type="paragraph" w:styleId="Heading1">
    <w:name w:val="heading 1"/>
    <w:basedOn w:val="Normal"/>
    <w:next w:val="Normal"/>
    <w:link w:val="Heading1Char"/>
    <w:uiPriority w:val="9"/>
    <w:qFormat/>
    <w:rsid w:val="00A822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22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22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822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22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22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22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22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22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2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22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22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822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22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22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22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22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2204"/>
    <w:rPr>
      <w:rFonts w:eastAsiaTheme="majorEastAsia" w:cstheme="majorBidi"/>
      <w:color w:val="272727" w:themeColor="text1" w:themeTint="D8"/>
    </w:rPr>
  </w:style>
  <w:style w:type="paragraph" w:styleId="Title">
    <w:name w:val="Title"/>
    <w:basedOn w:val="Normal"/>
    <w:next w:val="Normal"/>
    <w:link w:val="TitleChar"/>
    <w:uiPriority w:val="10"/>
    <w:qFormat/>
    <w:rsid w:val="00A822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2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2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2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2204"/>
    <w:pPr>
      <w:spacing w:before="160"/>
      <w:jc w:val="center"/>
    </w:pPr>
    <w:rPr>
      <w:i/>
      <w:iCs/>
      <w:color w:val="404040" w:themeColor="text1" w:themeTint="BF"/>
    </w:rPr>
  </w:style>
  <w:style w:type="character" w:customStyle="1" w:styleId="QuoteChar">
    <w:name w:val="Quote Char"/>
    <w:basedOn w:val="DefaultParagraphFont"/>
    <w:link w:val="Quote"/>
    <w:uiPriority w:val="29"/>
    <w:rsid w:val="00A82204"/>
    <w:rPr>
      <w:i/>
      <w:iCs/>
      <w:color w:val="404040" w:themeColor="text1" w:themeTint="BF"/>
    </w:rPr>
  </w:style>
  <w:style w:type="paragraph" w:styleId="ListParagraph">
    <w:name w:val="List Paragraph"/>
    <w:basedOn w:val="Normal"/>
    <w:uiPriority w:val="34"/>
    <w:qFormat/>
    <w:rsid w:val="00A82204"/>
    <w:pPr>
      <w:ind w:left="720"/>
      <w:contextualSpacing/>
    </w:pPr>
  </w:style>
  <w:style w:type="character" w:styleId="IntenseEmphasis">
    <w:name w:val="Intense Emphasis"/>
    <w:basedOn w:val="DefaultParagraphFont"/>
    <w:uiPriority w:val="21"/>
    <w:qFormat/>
    <w:rsid w:val="00A82204"/>
    <w:rPr>
      <w:i/>
      <w:iCs/>
      <w:color w:val="0F4761" w:themeColor="accent1" w:themeShade="BF"/>
    </w:rPr>
  </w:style>
  <w:style w:type="paragraph" w:styleId="IntenseQuote">
    <w:name w:val="Intense Quote"/>
    <w:basedOn w:val="Normal"/>
    <w:next w:val="Normal"/>
    <w:link w:val="IntenseQuoteChar"/>
    <w:uiPriority w:val="30"/>
    <w:qFormat/>
    <w:rsid w:val="00A822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2204"/>
    <w:rPr>
      <w:i/>
      <w:iCs/>
      <w:color w:val="0F4761" w:themeColor="accent1" w:themeShade="BF"/>
    </w:rPr>
  </w:style>
  <w:style w:type="character" w:styleId="IntenseReference">
    <w:name w:val="Intense Reference"/>
    <w:basedOn w:val="DefaultParagraphFont"/>
    <w:uiPriority w:val="32"/>
    <w:qFormat/>
    <w:rsid w:val="00A82204"/>
    <w:rPr>
      <w:b/>
      <w:bCs/>
      <w:smallCaps/>
      <w:color w:val="0F4761" w:themeColor="accent1" w:themeShade="BF"/>
      <w:spacing w:val="5"/>
    </w:rPr>
  </w:style>
  <w:style w:type="paragraph" w:styleId="NormalWeb">
    <w:name w:val="Normal (Web)"/>
    <w:basedOn w:val="Normal"/>
    <w:uiPriority w:val="99"/>
    <w:semiHidden/>
    <w:unhideWhenUsed/>
    <w:rsid w:val="00A8220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82204"/>
    <w:rPr>
      <w:b/>
      <w:bCs/>
    </w:rPr>
  </w:style>
  <w:style w:type="character" w:styleId="Emphasis">
    <w:name w:val="Emphasis"/>
    <w:basedOn w:val="DefaultParagraphFont"/>
    <w:uiPriority w:val="20"/>
    <w:qFormat/>
    <w:rsid w:val="00A82204"/>
    <w:rPr>
      <w:i/>
      <w:iCs/>
    </w:rPr>
  </w:style>
  <w:style w:type="paragraph" w:styleId="FootnoteText">
    <w:name w:val="footnote text"/>
    <w:basedOn w:val="Normal"/>
    <w:link w:val="FootnoteTextChar"/>
    <w:uiPriority w:val="99"/>
    <w:semiHidden/>
    <w:unhideWhenUsed/>
    <w:rsid w:val="000620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62086"/>
    <w:rPr>
      <w:sz w:val="20"/>
      <w:szCs w:val="20"/>
    </w:rPr>
  </w:style>
  <w:style w:type="character" w:styleId="FootnoteReference">
    <w:name w:val="footnote reference"/>
    <w:basedOn w:val="DefaultParagraphFont"/>
    <w:uiPriority w:val="99"/>
    <w:semiHidden/>
    <w:unhideWhenUsed/>
    <w:rsid w:val="000620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11</Pages>
  <Words>1627</Words>
  <Characters>9457</Characters>
  <Application>Microsoft Office Word</Application>
  <DocSecurity>0</DocSecurity>
  <Lines>305</Lines>
  <Paragraphs>197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10887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NA</cp:lastModifiedBy>
  <cp:revision>9</cp:revision>
  <dcterms:created xsi:type="dcterms:W3CDTF">2025-08-15T18:14:00Z</dcterms:created>
  <dcterms:modified xsi:type="dcterms:W3CDTF">2025-09-14T20:21:00Z</dcterms:modified>
  <cp:category/>
</cp:coreProperties>
</file>