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34"/>
          <w:szCs w:val="34"/>
        </w:rPr>
        <w:t xml:space="preserve">North Dakota Dyed-Diesel Emergency Order (EO 2026-08)</w:t>
      </w:r>
    </w:p>
    <w:p>
      <w:pPr>
        <w:spacing w:after="60"/>
      </w:pPr>
      <w:r>
        <w:rPr>
          <w:rFonts w:ascii="Calibri" w:cs="Calibri" w:eastAsia="Calibri" w:hAnsi="Calibri"/>
          <w:color w:val="52514E"/>
          <w:sz w:val="26"/>
          <w:szCs w:val="26"/>
        </w:rPr>
        <w:t xml:space="preserve">Input assumptions, sources, and calculation walk-through</w:t>
      </w:r>
    </w:p>
    <w:p>
      <w:pPr>
        <w:spacing w:after="200" w:before="0"/>
      </w:pPr>
      <w:r>
        <w:rPr>
          <w:rFonts w:ascii="Calibri" w:cs="Calibri" w:eastAsia="Calibri" w:hAnsi="Calibri"/>
          <w:color w:val="52514E"/>
          <w:sz w:val="18"/>
          <w:szCs w:val="18"/>
        </w:rPr>
        <w:t xml:space="preserve">Matthew Gammans, NDSU Center for Agricultural Policy and Trade Studies (draft) · October 2, 2026</w:t>
      </w:r>
    </w:p>
    <w:p>
      <w:pPr>
        <w:spacing w:after="100" w:before="0"/>
      </w:pPr>
      <w:r>
        <w:rPr>
          <w:rFonts w:ascii="Calibri" w:cs="Calibri" w:eastAsia="Calibri" w:hAnsi="Calibri"/>
          <w:sz w:val="20"/>
          <w:szCs w:val="20"/>
        </w:rPr>
        <w:t xml:space="preserve">This document lists every input behind the estimate of how many gallons of on-road farm diesel switch to dyed fuel under Executive Order 2026-08 (Sept. 29–Nov. 30, 2026), and what that costs the state. It then walks through the calculation step by step. The estimate covers farm trucks only: pickups are excluded because survey data on them are too thin. It assumes every farmer with dyed fuel on hand is willing to accept the federal penalty risk. All figures come from one model run (python analysis/run_all.py) on the public data saved in the project folder.</w:t>
      </w:r>
    </w:p>
    <w:p>
      <w:pPr>
        <w:pStyle w:val="Heading1"/>
        <w:spacing w:after="120" w:before="280"/>
      </w:pPr>
      <w:r>
        <w:rPr>
          <w:rFonts w:ascii="Calibri" w:cs="Calibri" w:eastAsia="Calibri" w:hAnsi="Calibri"/>
        </w:rPr>
        <w:t xml:space="preserve">1. Input assumptions and sources</w:t>
      </w:r>
    </w:p>
    <w:p>
      <w:pPr>
        <w:spacing w:after="100" w:before="0"/>
      </w:pPr>
      <w:r>
        <w:rPr>
          <w:rFonts w:ascii="Calibri" w:cs="Calibri" w:eastAsia="Calibri" w:hAnsi="Calibri"/>
          <w:b/>
          <w:bCs/>
          <w:sz w:val="20"/>
          <w:szCs w:val="20"/>
        </w:rPr>
        <w:t xml:space="preserve">Type: </w:t>
      </w:r>
      <w:r>
        <w:rPr>
          <w:rFonts w:ascii="Calibri" w:cs="Calibri" w:eastAsia="Calibri" w:hAnsi="Calibri"/>
          <w:sz w:val="20"/>
          <w:szCs w:val="20"/>
        </w:rPr>
        <w:t xml:space="preserve">Sourced = taken directly from the cited table. Calculated = computed from sourced values as described. Bound = no published source; logical limits shown, midpoint used. Assumption = author's choice. Ranges in parentheses feed the sensitivity analysis.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1200"/>
        <w:gridCol w:w="4300"/>
      </w:tblGrid>
      <w:tr>
        <w:trPr>
          <w:tblHeader/>
        </w:trPr>
        <w:tc>
          <w:tcPr>
            <w:tcW w:type="dxa" w:w="2400"/>
            <w:tcBorders>
              <w:top w:val="single" w:color="C3C2B7" w:sz="4"/>
              <w:left w:val="single" w:color="C3C2B7" w:sz="4"/>
              <w:bottom w:val="single" w:color="C3C2B7" w:sz="4"/>
              <w:right w:val="single" w:color="C3C2B7" w:sz="4"/>
            </w:tcBorders>
            <w:shd w:fill="1C5CAB" w:color="auto" w:val="clear"/>
            <w:tcMar>
              <w:top w:type="dxa" w:w="60"/>
              <w:left w:type="dxa" w:w="90"/>
              <w:bottom w:type="dxa" w:w="60"/>
              <w:right w:type="dxa" w:w="90"/>
            </w:tcMar>
          </w:tcPr>
          <w:p>
            <w:r>
              <w:rPr>
                <w:rFonts w:ascii="Calibri" w:cs="Calibri" w:eastAsia="Calibri" w:hAnsi="Calibri"/>
                <w:b/>
                <w:bCs/>
                <w:color w:val="FFFFFF"/>
                <w:sz w:val="18"/>
                <w:szCs w:val="18"/>
              </w:rPr>
              <w:t xml:space="preserve">Input</w:t>
            </w:r>
          </w:p>
        </w:tc>
        <w:tc>
          <w:tcPr>
            <w:tcW w:type="dxa" w:w="2900"/>
            <w:tcBorders>
              <w:top w:val="single" w:color="C3C2B7" w:sz="4"/>
              <w:left w:val="single" w:color="C3C2B7" w:sz="4"/>
              <w:bottom w:val="single" w:color="C3C2B7" w:sz="4"/>
              <w:right w:val="single" w:color="C3C2B7" w:sz="4"/>
            </w:tcBorders>
            <w:shd w:fill="1C5CAB" w:color="auto" w:val="clear"/>
            <w:tcMar>
              <w:top w:type="dxa" w:w="60"/>
              <w:left w:type="dxa" w:w="90"/>
              <w:bottom w:type="dxa" w:w="60"/>
              <w:right w:type="dxa" w:w="90"/>
            </w:tcMar>
          </w:tcPr>
          <w:p>
            <w:r>
              <w:rPr>
                <w:rFonts w:ascii="Calibri" w:cs="Calibri" w:eastAsia="Calibri" w:hAnsi="Calibri"/>
                <w:b/>
                <w:bCs/>
                <w:color w:val="FFFFFF"/>
                <w:sz w:val="18"/>
                <w:szCs w:val="18"/>
              </w:rPr>
              <w:t xml:space="preserve">Value used (central; low–high)</w:t>
            </w:r>
          </w:p>
        </w:tc>
        <w:tc>
          <w:tcPr>
            <w:tcW w:type="dxa" w:w="1200"/>
            <w:tcBorders>
              <w:top w:val="single" w:color="C3C2B7" w:sz="4"/>
              <w:left w:val="single" w:color="C3C2B7" w:sz="4"/>
              <w:bottom w:val="single" w:color="C3C2B7" w:sz="4"/>
              <w:right w:val="single" w:color="C3C2B7" w:sz="4"/>
            </w:tcBorders>
            <w:shd w:fill="1C5CAB" w:color="auto" w:val="clear"/>
            <w:tcMar>
              <w:top w:type="dxa" w:w="60"/>
              <w:left w:type="dxa" w:w="90"/>
              <w:bottom w:type="dxa" w:w="60"/>
              <w:right w:type="dxa" w:w="90"/>
            </w:tcMar>
          </w:tcPr>
          <w:p>
            <w:r>
              <w:rPr>
                <w:rFonts w:ascii="Calibri" w:cs="Calibri" w:eastAsia="Calibri" w:hAnsi="Calibri"/>
                <w:b/>
                <w:bCs/>
                <w:color w:val="FFFFFF"/>
                <w:sz w:val="18"/>
                <w:szCs w:val="18"/>
              </w:rPr>
              <w:t xml:space="preserve">Type</w:t>
            </w:r>
          </w:p>
        </w:tc>
        <w:tc>
          <w:tcPr>
            <w:tcW w:type="dxa" w:w="4300"/>
            <w:tcBorders>
              <w:top w:val="single" w:color="C3C2B7" w:sz="4"/>
              <w:left w:val="single" w:color="C3C2B7" w:sz="4"/>
              <w:bottom w:val="single" w:color="C3C2B7" w:sz="4"/>
              <w:right w:val="single" w:color="C3C2B7" w:sz="4"/>
            </w:tcBorders>
            <w:shd w:fill="1C5CAB" w:color="auto" w:val="clear"/>
            <w:tcMar>
              <w:top w:type="dxa" w:w="60"/>
              <w:left w:type="dxa" w:w="90"/>
              <w:bottom w:type="dxa" w:w="60"/>
              <w:right w:type="dxa" w:w="90"/>
            </w:tcMar>
          </w:tcPr>
          <w:p>
            <w:r>
              <w:rPr>
                <w:rFonts w:ascii="Calibri" w:cs="Calibri" w:eastAsia="Calibri" w:hAnsi="Calibri"/>
                <w:b/>
                <w:bCs/>
                <w:color w:val="FFFFFF"/>
                <w:sz w:val="18"/>
                <w:szCs w:val="18"/>
              </w:rPr>
              <w:t xml:space="preserve">Source / how derived</w:t>
            </w:r>
          </w:p>
        </w:tc>
      </w:tr>
      <w:tr>
        <w:tc>
          <w:tcPr>
            <w:tcW w:type="dxa" w:w="10800"/>
            <w:gridSpan w:val="4"/>
            <w:tcBorders>
              <w:top w:val="single" w:color="C3C2B7" w:sz="4"/>
              <w:left w:val="single" w:color="C3C2B7" w:sz="4"/>
              <w:bottom w:val="single" w:color="C3C2B7" w:sz="4"/>
              <w:right w:val="single" w:color="C3C2B7" w:sz="4"/>
            </w:tcBorders>
            <w:shd w:fill="E8F0FB" w:color="auto" w:val="clear"/>
            <w:tcMar>
              <w:top w:type="dxa" w:w="60"/>
              <w:left w:type="dxa" w:w="90"/>
              <w:bottom w:type="dxa" w:w="60"/>
              <w:right w:type="dxa" w:w="90"/>
            </w:tcMar>
          </w:tcPr>
          <w:p>
            <w:r>
              <w:rPr>
                <w:rFonts w:ascii="Calibri" w:cs="Calibri" w:eastAsia="Calibri" w:hAnsi="Calibri"/>
                <w:b/>
                <w:bCs/>
                <w:sz w:val="18"/>
                <w:szCs w:val="18"/>
              </w:rPr>
              <w:t xml:space="preserve">Policy and prices</w:t>
            </w:r>
          </w:p>
        </w:tc>
      </w:tr>
      <w:tr>
        <w:tc>
          <w:tcPr>
            <w:tcW w:type="dxa" w:w="24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ND tax, clear diesel / dyed diesel</w:t>
            </w:r>
          </w:p>
        </w:tc>
        <w:tc>
          <w:tcPr>
            <w:tcW w:type="dxa" w:w="29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23¢ / 4¢ per gal (difference 19¢)</w:t>
            </w:r>
          </w:p>
        </w:tc>
        <w:tc>
          <w:tcPr>
            <w:tcW w:type="dxa" w:w="12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i w:val="false"/>
                <w:iCs w:val="false"/>
                <w:sz w:val="17"/>
                <w:szCs w:val="17"/>
              </w:rPr>
              <w:t xml:space="preserve">Sourced</w:t>
            </w:r>
          </w:p>
        </w:tc>
        <w:tc>
          <w:tcPr>
            <w:tcW w:type="dxa" w:w="4300"/>
            <w:tcBorders>
              <w:top w:val="single" w:color="C3C2B7" w:sz="4"/>
              <w:left w:val="single" w:color="C3C2B7" w:sz="4"/>
              <w:bottom w:val="single" w:color="C3C2B7" w:sz="4"/>
              <w:right w:val="single" w:color="C3C2B7" w:sz="4"/>
            </w:tcBorders>
            <w:tcMar>
              <w:top w:type="dxa" w:w="60"/>
              <w:left w:type="dxa" w:w="90"/>
              <w:bottom w:type="dxa" w:w="60"/>
              <w:right w:type="dxa" w:w="90"/>
            </w:tcMar>
          </w:tcPr>
          <w:p>
            <w:hyperlink w:history="1" r:id="rIdfxahluykuzjctrhw03dec">
              <w:r>
                <w:rPr>
                  <w:rStyle w:val="Hyperlink"/>
                  <w:rFonts w:ascii="Calibri" w:cs="Calibri" w:eastAsia="Calibri" w:hAnsi="Calibri"/>
                  <w:sz w:val="17"/>
                  <w:szCs w:val="17"/>
                </w:rPr>
                <w:t xml:space="preserve">NDCC 57-43.2-02, -03</w:t>
              </w:r>
            </w:hyperlink>
          </w:p>
        </w:tc>
      </w:tr>
      <w:tr>
        <w:tc>
          <w:tcPr>
            <w:tcW w:type="dxa" w:w="24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Federal diesel tax (not relieved)</w:t>
            </w:r>
          </w:p>
        </w:tc>
        <w:tc>
          <w:tcPr>
            <w:tcW w:type="dxa" w:w="29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24.4¢ per gal</w:t>
            </w:r>
          </w:p>
        </w:tc>
        <w:tc>
          <w:tcPr>
            <w:tcW w:type="dxa" w:w="12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i w:val="false"/>
                <w:iCs w:val="false"/>
                <w:sz w:val="17"/>
                <w:szCs w:val="17"/>
              </w:rPr>
              <w:t xml:space="preserve">Sourced</w:t>
            </w:r>
          </w:p>
        </w:tc>
        <w:tc>
          <w:tcPr>
            <w:tcW w:type="dxa" w:w="4300"/>
            <w:tcBorders>
              <w:top w:val="single" w:color="C3C2B7" w:sz="4"/>
              <w:left w:val="single" w:color="C3C2B7" w:sz="4"/>
              <w:bottom w:val="single" w:color="C3C2B7" w:sz="4"/>
              <w:right w:val="single" w:color="C3C2B7" w:sz="4"/>
            </w:tcBorders>
            <w:tcMar>
              <w:top w:type="dxa" w:w="60"/>
              <w:left w:type="dxa" w:w="90"/>
              <w:bottom w:type="dxa" w:w="60"/>
              <w:right w:type="dxa" w:w="90"/>
            </w:tcMar>
          </w:tcPr>
          <w:p>
            <w:hyperlink w:history="1" r:id="rIdjozybwcspn2hnccifueae">
              <w:r>
                <w:rPr>
                  <w:rStyle w:val="Hyperlink"/>
                  <w:rFonts w:ascii="Calibri" w:cs="Calibri" w:eastAsia="Calibri" w:hAnsi="Calibri"/>
                  <w:sz w:val="17"/>
                  <w:szCs w:val="17"/>
                </w:rPr>
                <w:t xml:space="preserve">Governor's release 9/29/2026; 26 U.S.C. 4081; IRS IR-2024-265 precedent</w:t>
              </w:r>
            </w:hyperlink>
          </w:p>
        </w:tc>
      </w:tr>
      <w:tr>
        <w:tc>
          <w:tcPr>
            <w:tcW w:type="dxa" w:w="24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Window covered by the order</w:t>
            </w:r>
          </w:p>
        </w:tc>
        <w:tc>
          <w:tcPr>
            <w:tcW w:type="dxa" w:w="29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Sept. 29–Nov. 30, 2026 (63 days)</w:t>
            </w:r>
          </w:p>
        </w:tc>
        <w:tc>
          <w:tcPr>
            <w:tcW w:type="dxa" w:w="12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i w:val="false"/>
                <w:iCs w:val="false"/>
                <w:sz w:val="17"/>
                <w:szCs w:val="17"/>
              </w:rPr>
              <w:t xml:space="preserve">Sourced</w:t>
            </w:r>
          </w:p>
        </w:tc>
        <w:tc>
          <w:tcPr>
            <w:tcW w:type="dxa" w:w="4300"/>
            <w:tcBorders>
              <w:top w:val="single" w:color="C3C2B7" w:sz="4"/>
              <w:left w:val="single" w:color="C3C2B7" w:sz="4"/>
              <w:bottom w:val="single" w:color="C3C2B7" w:sz="4"/>
              <w:right w:val="single" w:color="C3C2B7" w:sz="4"/>
            </w:tcBorders>
            <w:tcMar>
              <w:top w:type="dxa" w:w="60"/>
              <w:left w:type="dxa" w:w="90"/>
              <w:bottom w:type="dxa" w:w="60"/>
              <w:right w:type="dxa" w:w="90"/>
            </w:tcMar>
          </w:tcPr>
          <w:p>
            <w:hyperlink w:history="1" r:id="rId-wwvwkncjxsugapdcflq9">
              <w:r>
                <w:rPr>
                  <w:rStyle w:val="Hyperlink"/>
                  <w:rFonts w:ascii="Calibri" w:cs="Calibri" w:eastAsia="Calibri" w:hAnsi="Calibri"/>
                  <w:sz w:val="17"/>
                  <w:szCs w:val="17"/>
                </w:rPr>
                <w:t xml:space="preserve">Executive Order 2026-08</w:t>
              </w:r>
            </w:hyperlink>
          </w:p>
        </w:tc>
      </w:tr>
      <w:tr>
        <w:tc>
          <w:tcPr>
            <w:tcW w:type="dxa" w:w="24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Midwest retail diesel, fall 2025 average / Sept. 28, 2026</w:t>
            </w:r>
          </w:p>
        </w:tc>
        <w:tc>
          <w:tcPr>
            <w:tcW w:type="dxa" w:w="29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$3.74 / $6.53 (rise $2.79)</w:t>
            </w:r>
          </w:p>
        </w:tc>
        <w:tc>
          <w:tcPr>
            <w:tcW w:type="dxa" w:w="12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i w:val="false"/>
                <w:iCs w:val="false"/>
                <w:sz w:val="17"/>
                <w:szCs w:val="17"/>
              </w:rPr>
              <w:t xml:space="preserve">Sourced</w:t>
            </w:r>
          </w:p>
        </w:tc>
        <w:tc>
          <w:tcPr>
            <w:tcW w:type="dxa" w:w="4300"/>
            <w:tcBorders>
              <w:top w:val="single" w:color="C3C2B7" w:sz="4"/>
              <w:left w:val="single" w:color="C3C2B7" w:sz="4"/>
              <w:bottom w:val="single" w:color="C3C2B7" w:sz="4"/>
              <w:right w:val="single" w:color="C3C2B7" w:sz="4"/>
            </w:tcBorders>
            <w:tcMar>
              <w:top w:type="dxa" w:w="60"/>
              <w:left w:type="dxa" w:w="90"/>
              <w:bottom w:type="dxa" w:w="60"/>
              <w:right w:type="dxa" w:w="90"/>
            </w:tcMar>
          </w:tcPr>
          <w:p>
            <w:hyperlink w:history="1" r:id="rIdq7w9qntmstgtlpag7nqze">
              <w:r>
                <w:rPr>
                  <w:rStyle w:val="Hyperlink"/>
                  <w:rFonts w:ascii="Calibri" w:cs="Calibri" w:eastAsia="Calibri" w:hAnsi="Calibri"/>
                  <w:sz w:val="17"/>
                  <w:szCs w:val="17"/>
                </w:rPr>
                <w:t xml:space="preserve">EIA weekly retail diesel, PADD 2</w:t>
              </w:r>
            </w:hyperlink>
          </w:p>
        </w:tc>
      </w:tr>
      <w:tr>
        <w:tc>
          <w:tcPr>
            <w:tcW w:type="dxa" w:w="10800"/>
            <w:gridSpan w:val="4"/>
            <w:tcBorders>
              <w:top w:val="single" w:color="C3C2B7" w:sz="4"/>
              <w:left w:val="single" w:color="C3C2B7" w:sz="4"/>
              <w:bottom w:val="single" w:color="C3C2B7" w:sz="4"/>
              <w:right w:val="single" w:color="C3C2B7" w:sz="4"/>
            </w:tcBorders>
            <w:shd w:fill="E8F0FB" w:color="auto" w:val="clear"/>
            <w:tcMar>
              <w:top w:type="dxa" w:w="60"/>
              <w:left w:type="dxa" w:w="90"/>
              <w:bottom w:type="dxa" w:w="60"/>
              <w:right w:type="dxa" w:w="90"/>
            </w:tcMar>
          </w:tcPr>
          <w:p>
            <w:r>
              <w:rPr>
                <w:rFonts w:ascii="Calibri" w:cs="Calibri" w:eastAsia="Calibri" w:hAnsi="Calibri"/>
                <w:b/>
                <w:bCs/>
                <w:sz w:val="18"/>
                <w:szCs w:val="18"/>
              </w:rPr>
              <w:t xml:space="preserve">Crops</w:t>
            </w:r>
          </w:p>
        </w:tc>
      </w:tr>
      <w:tr>
        <w:tc>
          <w:tcPr>
            <w:tcW w:type="dxa" w:w="24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2026 production forecasts</w:t>
            </w:r>
          </w:p>
        </w:tc>
        <w:tc>
          <w:tcPr>
            <w:tcW w:type="dxa" w:w="29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Corn 578.5M bu; soybeans 203.7M bu; sugarbeets 5.90M t; dry beans 7.04M cwt</w:t>
            </w:r>
          </w:p>
        </w:tc>
        <w:tc>
          <w:tcPr>
            <w:tcW w:type="dxa" w:w="12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i w:val="false"/>
                <w:iCs w:val="false"/>
                <w:sz w:val="17"/>
                <w:szCs w:val="17"/>
              </w:rPr>
              <w:t xml:space="preserve">Sourced</w:t>
            </w:r>
          </w:p>
        </w:tc>
        <w:tc>
          <w:tcPr>
            <w:tcW w:type="dxa" w:w="4300"/>
            <w:tcBorders>
              <w:top w:val="single" w:color="C3C2B7" w:sz="4"/>
              <w:left w:val="single" w:color="C3C2B7" w:sz="4"/>
              <w:bottom w:val="single" w:color="C3C2B7" w:sz="4"/>
              <w:right w:val="single" w:color="C3C2B7" w:sz="4"/>
            </w:tcBorders>
            <w:tcMar>
              <w:top w:type="dxa" w:w="60"/>
              <w:left w:type="dxa" w:w="90"/>
              <w:bottom w:type="dxa" w:w="60"/>
              <w:right w:type="dxa" w:w="90"/>
            </w:tcMar>
          </w:tcPr>
          <w:p>
            <w:hyperlink w:history="1" r:id="rId6s5prvdnub2suficjbb8z">
              <w:r>
                <w:rPr>
                  <w:rStyle w:val="Hyperlink"/>
                  <w:rFonts w:ascii="Calibri" w:cs="Calibri" w:eastAsia="Calibri" w:hAnsi="Calibri"/>
                  <w:sz w:val="17"/>
                  <w:szCs w:val="17"/>
                </w:rPr>
                <w:t xml:space="preserve">NASS Crop Production, Sept. 11 and Aug. 12, 2026</w:t>
              </w:r>
            </w:hyperlink>
          </w:p>
        </w:tc>
      </w:tr>
      <w:tr>
        <w:tc>
          <w:tcPr>
            <w:tcW w:type="dxa" w:w="24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Sunflower and potatoes (no 2026 forecast yet)</w:t>
            </w:r>
          </w:p>
        </w:tc>
        <w:tc>
          <w:tcPr>
            <w:tcW w:type="dxa" w:w="29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Sunflower 1,088M lb × 2026/2025 acres (0.605/0.575M); potatoes 24.84M cwt (2025)</w:t>
            </w:r>
          </w:p>
        </w:tc>
        <w:tc>
          <w:tcPr>
            <w:tcW w:type="dxa" w:w="12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i/>
                <w:iCs/>
                <w:sz w:val="17"/>
                <w:szCs w:val="17"/>
              </w:rPr>
              <w:t xml:space="preserve">Sourced (proxy year)</w:t>
            </w:r>
          </w:p>
        </w:tc>
        <w:tc>
          <w:tcPr>
            <w:tcW w:type="dxa" w:w="4300"/>
            <w:tcBorders>
              <w:top w:val="single" w:color="C3C2B7" w:sz="4"/>
              <w:left w:val="single" w:color="C3C2B7" w:sz="4"/>
              <w:bottom w:val="single" w:color="C3C2B7" w:sz="4"/>
              <w:right w:val="single" w:color="C3C2B7" w:sz="4"/>
            </w:tcBorders>
            <w:tcMar>
              <w:top w:type="dxa" w:w="60"/>
              <w:left w:type="dxa" w:w="90"/>
              <w:bottom w:type="dxa" w:w="60"/>
              <w:right w:type="dxa" w:w="90"/>
            </w:tcMar>
          </w:tcPr>
          <w:p>
            <w:hyperlink w:history="1" r:id="rIdbrk89axbhecsn_jaof3ly">
              <w:r>
                <w:rPr>
                  <w:rStyle w:val="Hyperlink"/>
                  <w:rFonts w:ascii="Calibri" w:cs="Calibri" w:eastAsia="Calibri" w:hAnsi="Calibri"/>
                  <w:sz w:val="17"/>
                  <w:szCs w:val="17"/>
                </w:rPr>
                <w:t xml:space="preserve">NASS Crop Production 2025 Summary; NASS Acreage, June 2026</w:t>
              </w:r>
            </w:hyperlink>
          </w:p>
        </w:tc>
      </w:tr>
      <w:tr>
        <w:tc>
          <w:tcPr>
            <w:tcW w:type="dxa" w:w="24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Share harvested by Sept. 27, 2026</w:t>
            </w:r>
          </w:p>
        </w:tc>
        <w:tc>
          <w:tcPr>
            <w:tcW w:type="dxa" w:w="29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Corn 8%; soybeans 22%; sugarbeets 25%; sunflower 3%</w:t>
            </w:r>
          </w:p>
        </w:tc>
        <w:tc>
          <w:tcPr>
            <w:tcW w:type="dxa" w:w="12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i w:val="false"/>
                <w:iCs w:val="false"/>
                <w:sz w:val="17"/>
                <w:szCs w:val="17"/>
              </w:rPr>
              <w:t xml:space="preserve">Sourced</w:t>
            </w:r>
          </w:p>
        </w:tc>
        <w:tc>
          <w:tcPr>
            <w:tcW w:type="dxa" w:w="4300"/>
            <w:tcBorders>
              <w:top w:val="single" w:color="C3C2B7" w:sz="4"/>
              <w:left w:val="single" w:color="C3C2B7" w:sz="4"/>
              <w:bottom w:val="single" w:color="C3C2B7" w:sz="4"/>
              <w:right w:val="single" w:color="C3C2B7" w:sz="4"/>
            </w:tcBorders>
            <w:tcMar>
              <w:top w:type="dxa" w:w="60"/>
              <w:left w:type="dxa" w:w="90"/>
              <w:bottom w:type="dxa" w:w="60"/>
              <w:right w:type="dxa" w:w="90"/>
            </w:tcMar>
          </w:tcPr>
          <w:p>
            <w:hyperlink w:history="1" r:id="rIdosuigufddx_dzhdhsm0hu">
              <w:r>
                <w:rPr>
                  <w:rStyle w:val="Hyperlink"/>
                  <w:rFonts w:ascii="Calibri" w:cs="Calibri" w:eastAsia="Calibri" w:hAnsi="Calibri"/>
                  <w:sz w:val="17"/>
                  <w:szCs w:val="17"/>
                </w:rPr>
                <w:t xml:space="preserve">NASS Crop Progress, Sept. 28, 2026</w:t>
              </w:r>
            </w:hyperlink>
          </w:p>
        </w:tc>
      </w:tr>
      <w:tr>
        <w:tc>
          <w:tcPr>
            <w:tcW w:type="dxa" w:w="24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Share of remaining harvest done by Nov. 30</w:t>
            </w:r>
          </w:p>
        </w:tc>
        <w:tc>
          <w:tcPr>
            <w:tcW w:type="dxa" w:w="29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Corn 92% (73%–97%); soybeans 99%; beets 99%</w:t>
            </w:r>
          </w:p>
        </w:tc>
        <w:tc>
          <w:tcPr>
            <w:tcW w:type="dxa" w:w="12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i/>
                <w:iCs/>
                <w:sz w:val="17"/>
                <w:szCs w:val="17"/>
              </w:rPr>
              <w:t xml:space="preserve">Calculated</w:t>
            </w:r>
          </w:p>
        </w:tc>
        <w:tc>
          <w:tcPr>
            <w:tcW w:type="dxa" w:w="4300"/>
            <w:tcBorders>
              <w:top w:val="single" w:color="C3C2B7" w:sz="4"/>
              <w:left w:val="single" w:color="C3C2B7" w:sz="4"/>
              <w:bottom w:val="single" w:color="C3C2B7" w:sz="4"/>
              <w:right w:val="single" w:color="C3C2B7" w:sz="4"/>
            </w:tcBorders>
            <w:tcMar>
              <w:top w:type="dxa" w:w="60"/>
              <w:left w:type="dxa" w:w="90"/>
              <w:bottom w:type="dxa" w:w="60"/>
              <w:right w:type="dxa" w:w="90"/>
            </w:tcMar>
          </w:tcPr>
          <w:p>
            <w:hyperlink w:history="1" r:id="rIdvzyikcqrpl1ubjn_xmtfc">
              <w:r>
                <w:rPr>
                  <w:rStyle w:val="Hyperlink"/>
                  <w:rFonts w:ascii="Calibri" w:cs="Calibri" w:eastAsia="Calibri" w:hAnsi="Calibri"/>
                  <w:sz w:val="17"/>
                  <w:szCs w:val="17"/>
                </w:rPr>
                <w:t xml:space="preserve">NASS Crop Progress 2016–2025, ND late-November values (median; 10th–90th percentile)</w:t>
              </w:r>
            </w:hyperlink>
          </w:p>
        </w:tc>
      </w:tr>
      <w:tr>
        <w:tc>
          <w:tcPr>
            <w:tcW w:type="dxa" w:w="24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Dry beans and potatoes harvested after Sept. 29</w:t>
            </w:r>
          </w:p>
        </w:tc>
        <w:tc>
          <w:tcPr>
            <w:tcW w:type="dxa" w:w="29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Dry beans 40%; potatoes 36%</w:t>
            </w:r>
          </w:p>
        </w:tc>
        <w:tc>
          <w:tcPr>
            <w:tcW w:type="dxa" w:w="12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i/>
                <w:iCs/>
                <w:sz w:val="17"/>
                <w:szCs w:val="17"/>
              </w:rPr>
              <w:t xml:space="preserve">Calculated</w:t>
            </w:r>
          </w:p>
        </w:tc>
        <w:tc>
          <w:tcPr>
            <w:tcW w:type="dxa" w:w="4300"/>
            <w:tcBorders>
              <w:top w:val="single" w:color="C3C2B7" w:sz="4"/>
              <w:left w:val="single" w:color="C3C2B7" w:sz="4"/>
              <w:bottom w:val="single" w:color="C3C2B7" w:sz="4"/>
              <w:right w:val="single" w:color="C3C2B7" w:sz="4"/>
            </w:tcBorders>
            <w:tcMar>
              <w:top w:type="dxa" w:w="60"/>
              <w:left w:type="dxa" w:w="90"/>
              <w:bottom w:type="dxa" w:w="60"/>
              <w:right w:type="dxa" w:w="90"/>
            </w:tcMar>
          </w:tcPr>
          <w:p>
            <w:hyperlink w:history="1" r:id="rIdvibklbrrf6hhpefhncc5d">
              <w:r>
                <w:rPr>
                  <w:rStyle w:val="Hyperlink"/>
                  <w:rFonts w:ascii="Calibri" w:cs="Calibri" w:eastAsia="Calibri" w:hAnsi="Calibri"/>
                  <w:sz w:val="17"/>
                  <w:szCs w:val="17"/>
                </w:rPr>
                <w:t xml:space="preserve">NASS Usual Planting and Harvesting Dates (2010), ND; interpolated between the 5/15/85/95% dates</w:t>
              </w:r>
            </w:hyperlink>
          </w:p>
        </w:tc>
      </w:tr>
      <w:tr>
        <w:tc>
          <w:tcPr>
            <w:tcW w:type="dxa" w:w="24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Share of crop off the farm by Dec. 1</w:t>
            </w:r>
          </w:p>
        </w:tc>
        <w:tc>
          <w:tcPr>
            <w:tcW w:type="dxa" w:w="29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Corn 37% (33%–40%); soybeans 60% (52%–68%)</w:t>
            </w:r>
          </w:p>
        </w:tc>
        <w:tc>
          <w:tcPr>
            <w:tcW w:type="dxa" w:w="12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i/>
                <w:iCs/>
                <w:sz w:val="17"/>
                <w:szCs w:val="17"/>
              </w:rPr>
              <w:t xml:space="preserve">Calculated</w:t>
            </w:r>
          </w:p>
        </w:tc>
        <w:tc>
          <w:tcPr>
            <w:tcW w:type="dxa" w:w="4300"/>
            <w:tcBorders>
              <w:top w:val="single" w:color="C3C2B7" w:sz="4"/>
              <w:left w:val="single" w:color="C3C2B7" w:sz="4"/>
              <w:bottom w:val="single" w:color="C3C2B7" w:sz="4"/>
              <w:right w:val="single" w:color="C3C2B7" w:sz="4"/>
            </w:tcBorders>
            <w:tcMar>
              <w:top w:type="dxa" w:w="60"/>
              <w:left w:type="dxa" w:w="90"/>
              <w:bottom w:type="dxa" w:w="60"/>
              <w:right w:type="dxa" w:w="90"/>
            </w:tcMar>
          </w:tcPr>
          <w:p>
            <w:hyperlink w:history="1" r:id="rIds0qbhbmsj4dby9h7x-n5t">
              <w:r>
                <w:rPr>
                  <w:rStyle w:val="Hyperlink"/>
                  <w:rFonts w:ascii="Calibri" w:cs="Calibri" w:eastAsia="Calibri" w:hAnsi="Calibri"/>
                  <w:sz w:val="17"/>
                  <w:szCs w:val="17"/>
                </w:rPr>
                <w:t xml:space="preserve">1 − Dec. 1 on-farm stocks ÷ (production × share harvested), 2024 and 2025; NASS Grain Stocks and Crop Production</w:t>
              </w:r>
            </w:hyperlink>
          </w:p>
        </w:tc>
      </w:tr>
      <w:tr>
        <w:tc>
          <w:tcPr>
            <w:tcW w:type="dxa" w:w="24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Share hauled straight from field at harvest</w:t>
            </w:r>
          </w:p>
        </w:tc>
        <w:tc>
          <w:tcPr>
            <w:tcW w:type="dxa" w:w="29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Corn 33%; soybeans 66%</w:t>
            </w:r>
          </w:p>
        </w:tc>
        <w:tc>
          <w:tcPr>
            <w:tcW w:type="dxa" w:w="12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i w:val="false"/>
                <w:iCs w:val="false"/>
                <w:sz w:val="17"/>
                <w:szCs w:val="17"/>
              </w:rPr>
              <w:t xml:space="preserve">Sourced</w:t>
            </w:r>
          </w:p>
        </w:tc>
        <w:tc>
          <w:tcPr>
            <w:tcW w:type="dxa" w:w="4300"/>
            <w:tcBorders>
              <w:top w:val="single" w:color="C3C2B7" w:sz="4"/>
              <w:left w:val="single" w:color="C3C2B7" w:sz="4"/>
              <w:bottom w:val="single" w:color="C3C2B7" w:sz="4"/>
              <w:right w:val="single" w:color="C3C2B7" w:sz="4"/>
            </w:tcBorders>
            <w:tcMar>
              <w:top w:type="dxa" w:w="60"/>
              <w:left w:type="dxa" w:w="90"/>
              <w:bottom w:type="dxa" w:w="60"/>
              <w:right w:type="dxa" w:w="90"/>
            </w:tcMar>
          </w:tcPr>
          <w:p>
            <w:hyperlink w:history="1" r:id="rIdnjj6az_oucigcwu1u6ji8">
              <w:r>
                <w:rPr>
                  <w:rStyle w:val="Hyperlink"/>
                  <w:rFonts w:ascii="Calibri" w:cs="Calibri" w:eastAsia="Calibri" w:hAnsi="Calibri"/>
                  <w:sz w:val="17"/>
                  <w:szCs w:val="17"/>
                </w:rPr>
                <w:t xml:space="preserve">UGPTI DP-284 (Vachal 2015), p. 11 (soybean value is regional)</w:t>
              </w:r>
            </w:hyperlink>
          </w:p>
        </w:tc>
      </w:tr>
      <w:tr>
        <w:tc>
          <w:tcPr>
            <w:tcW w:type="dxa" w:w="24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On-farm wheat and barley stocks, Sept. 1, 2026; Sept.–Dec. decline</w:t>
            </w:r>
          </w:p>
        </w:tc>
        <w:tc>
          <w:tcPr>
            <w:tcW w:type="dxa" w:w="29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Wheat 165M bu, barley 18.5M bu; wheat fell 22–24% Sept. 1–Dec. 1 in 2024–25</w:t>
            </w:r>
          </w:p>
        </w:tc>
        <w:tc>
          <w:tcPr>
            <w:tcW w:type="dxa" w:w="12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i w:val="false"/>
                <w:iCs w:val="false"/>
                <w:sz w:val="17"/>
                <w:szCs w:val="17"/>
              </w:rPr>
              <w:t xml:space="preserve">Sourced</w:t>
            </w:r>
          </w:p>
        </w:tc>
        <w:tc>
          <w:tcPr>
            <w:tcW w:type="dxa" w:w="4300"/>
            <w:tcBorders>
              <w:top w:val="single" w:color="C3C2B7" w:sz="4"/>
              <w:left w:val="single" w:color="C3C2B7" w:sz="4"/>
              <w:bottom w:val="single" w:color="C3C2B7" w:sz="4"/>
              <w:right w:val="single" w:color="C3C2B7" w:sz="4"/>
            </w:tcBorders>
            <w:tcMar>
              <w:top w:type="dxa" w:w="60"/>
              <w:left w:type="dxa" w:w="90"/>
              <w:bottom w:type="dxa" w:w="60"/>
              <w:right w:type="dxa" w:w="90"/>
            </w:tcMar>
          </w:tcPr>
          <w:p>
            <w:hyperlink w:history="1" r:id="rIdzmmdjiphno3x_7avvaj09">
              <w:r>
                <w:rPr>
                  <w:rStyle w:val="Hyperlink"/>
                  <w:rFonts w:ascii="Calibri" w:cs="Calibri" w:eastAsia="Calibri" w:hAnsi="Calibri"/>
                  <w:sz w:val="17"/>
                  <w:szCs w:val="17"/>
                </w:rPr>
                <w:t xml:space="preserve">NASS Grain Stocks (Sept. 2024, 2025, 2026; Jan. 2025, 2026)</w:t>
              </w:r>
            </w:hyperlink>
          </w:p>
        </w:tc>
      </w:tr>
      <w:tr>
        <w:tc>
          <w:tcPr>
            <w:tcW w:type="dxa" w:w="10800"/>
            <w:gridSpan w:val="4"/>
            <w:tcBorders>
              <w:top w:val="single" w:color="C3C2B7" w:sz="4"/>
              <w:left w:val="single" w:color="C3C2B7" w:sz="4"/>
              <w:bottom w:val="single" w:color="C3C2B7" w:sz="4"/>
              <w:right w:val="single" w:color="C3C2B7" w:sz="4"/>
            </w:tcBorders>
            <w:shd w:fill="E8F0FB" w:color="auto" w:val="clear"/>
            <w:tcMar>
              <w:top w:type="dxa" w:w="60"/>
              <w:left w:type="dxa" w:w="90"/>
              <w:bottom w:type="dxa" w:w="60"/>
              <w:right w:type="dxa" w:w="90"/>
            </w:tcMar>
          </w:tcPr>
          <w:p>
            <w:r>
              <w:rPr>
                <w:rFonts w:ascii="Calibri" w:cs="Calibri" w:eastAsia="Calibri" w:hAnsi="Calibri"/>
                <w:b/>
                <w:bCs/>
                <w:sz w:val="18"/>
                <w:szCs w:val="18"/>
              </w:rPr>
              <w:t xml:space="preserve">Hauling</w:t>
            </w:r>
          </w:p>
        </w:tc>
      </w:tr>
      <w:tr>
        <w:tc>
          <w:tcPr>
            <w:tcW w:type="dxa" w:w="24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One-way miles to elevator or plant</w:t>
            </w:r>
          </w:p>
        </w:tc>
        <w:tc>
          <w:tcPr>
            <w:tcW w:type="dxa" w:w="29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27.8 (21.7–41.7)</w:t>
            </w:r>
          </w:p>
        </w:tc>
        <w:tc>
          <w:tcPr>
            <w:tcW w:type="dxa" w:w="12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i w:val="false"/>
                <w:iCs w:val="false"/>
                <w:sz w:val="17"/>
                <w:szCs w:val="17"/>
              </w:rPr>
              <w:t xml:space="preserve">Sourced</w:t>
            </w:r>
          </w:p>
        </w:tc>
        <w:tc>
          <w:tcPr>
            <w:tcW w:type="dxa" w:w="4300"/>
            <w:tcBorders>
              <w:top w:val="single" w:color="C3C2B7" w:sz="4"/>
              <w:left w:val="single" w:color="C3C2B7" w:sz="4"/>
              <w:bottom w:val="single" w:color="C3C2B7" w:sz="4"/>
              <w:right w:val="single" w:color="C3C2B7" w:sz="4"/>
            </w:tcBorders>
            <w:tcMar>
              <w:top w:type="dxa" w:w="60"/>
              <w:left w:type="dxa" w:w="90"/>
              <w:bottom w:type="dxa" w:w="60"/>
              <w:right w:type="dxa" w:w="90"/>
            </w:tcMar>
          </w:tcPr>
          <w:p>
            <w:hyperlink w:history="1" r:id="rIds3ycclpu8gxbhrh50vsal">
              <w:r>
                <w:rPr>
                  <w:rStyle w:val="Hyperlink"/>
                  <w:rFonts w:ascii="Calibri" w:cs="Calibri" w:eastAsia="Calibri" w:hAnsi="Calibri"/>
                  <w:sz w:val="17"/>
                  <w:szCs w:val="17"/>
                </w:rPr>
                <w:t xml:space="preserve">UGPTI DP-284: ND corn trip (T3.56); ND semi wheat trip (T3.70, low); regional second-choice point (T3.46, high)</w:t>
              </w:r>
            </w:hyperlink>
          </w:p>
        </w:tc>
      </w:tr>
      <w:tr>
        <w:tc>
          <w:tcPr>
            <w:tcW w:type="dxa" w:w="24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Tons per load (fleet-weighted)</w:t>
            </w:r>
          </w:p>
        </w:tc>
        <w:tc>
          <w:tcPr>
            <w:tcW w:type="dxa" w:w="29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21.5 (19.8–26.0)</w:t>
            </w:r>
          </w:p>
        </w:tc>
        <w:tc>
          <w:tcPr>
            <w:tcW w:type="dxa" w:w="12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i/>
                <w:iCs/>
                <w:sz w:val="17"/>
                <w:szCs w:val="17"/>
              </w:rPr>
              <w:t xml:space="preserve">Calculated</w:t>
            </w:r>
          </w:p>
        </w:tc>
        <w:tc>
          <w:tcPr>
            <w:tcW w:type="dxa" w:w="4300"/>
            <w:tcBorders>
              <w:top w:val="single" w:color="C3C2B7" w:sz="4"/>
              <w:left w:val="single" w:color="C3C2B7" w:sz="4"/>
              <w:bottom w:val="single" w:color="C3C2B7" w:sz="4"/>
              <w:right w:val="single" w:color="C3C2B7" w:sz="4"/>
            </w:tcBorders>
            <w:tcMar>
              <w:top w:type="dxa" w:w="60"/>
              <w:left w:type="dxa" w:w="90"/>
              <w:bottom w:type="dxa" w:w="60"/>
              <w:right w:type="dxa" w:w="90"/>
            </w:tcMar>
          </w:tcPr>
          <w:p>
            <w:hyperlink w:history="1" r:id="rIdb_qvveedt-0lq8ilybenl">
              <w:r>
                <w:rPr>
                  <w:rStyle w:val="Hyperlink"/>
                  <w:rFonts w:ascii="Calibri" w:cs="Calibri" w:eastAsia="Calibri" w:hAnsi="Calibri"/>
                  <w:sz w:val="17"/>
                  <w:szCs w:val="17"/>
                </w:rPr>
                <w:t xml:space="preserve">Bushels per load by truck type (DP-284 T3.65) × share of ND grain each type hauls (UGPTI 2024 Infrastructure Needs, T12)</w:t>
              </w:r>
            </w:hyperlink>
          </w:p>
        </w:tc>
      </w:tr>
      <w:tr>
        <w:tc>
          <w:tcPr>
            <w:tcW w:type="dxa" w:w="24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Fuel economy, loaded / empty (mpg)</w:t>
            </w:r>
          </w:p>
        </w:tc>
        <w:tc>
          <w:tcPr>
            <w:tcW w:type="dxa" w:w="29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5.1 (4.4–6.2) / 6.2 (5.8–7.6)</w:t>
            </w:r>
          </w:p>
        </w:tc>
        <w:tc>
          <w:tcPr>
            <w:tcW w:type="dxa" w:w="12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i w:val="false"/>
                <w:iCs w:val="false"/>
                <w:sz w:val="17"/>
                <w:szCs w:val="17"/>
              </w:rPr>
              <w:t xml:space="preserve">Sourced</w:t>
            </w:r>
          </w:p>
        </w:tc>
        <w:tc>
          <w:tcPr>
            <w:tcW w:type="dxa" w:w="4300"/>
            <w:tcBorders>
              <w:top w:val="single" w:color="C3C2B7" w:sz="4"/>
              <w:left w:val="single" w:color="C3C2B7" w:sz="4"/>
              <w:bottom w:val="single" w:color="C3C2B7" w:sz="4"/>
              <w:right w:val="single" w:color="C3C2B7" w:sz="4"/>
            </w:tcBorders>
            <w:tcMar>
              <w:top w:type="dxa" w:w="60"/>
              <w:left w:type="dxa" w:w="90"/>
              <w:bottom w:type="dxa" w:w="60"/>
              <w:right w:type="dxa" w:w="90"/>
            </w:tcMar>
          </w:tcPr>
          <w:p>
            <w:hyperlink w:history="1" r:id="rIdkepmiy2u6vu0n8ojo3clo">
              <w:r>
                <w:rPr>
                  <w:rStyle w:val="Hyperlink"/>
                  <w:rFonts w:ascii="Calibri" w:cs="Calibri" w:eastAsia="Calibri" w:hAnsi="Calibri"/>
                  <w:sz w:val="17"/>
                  <w:szCs w:val="17"/>
                </w:rPr>
                <w:t xml:space="preserve">ORNL Transportation Energy Data Book Ed. 40, Tables 5.1, 5.2, 5.12</w:t>
              </w:r>
            </w:hyperlink>
          </w:p>
        </w:tc>
      </w:tr>
      <w:tr>
        <w:tc>
          <w:tcPr>
            <w:tcW w:type="dxa" w:w="24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Sugarbeet one-way miles to receiving station</w:t>
            </w:r>
          </w:p>
        </w:tc>
        <w:tc>
          <w:tcPr>
            <w:tcW w:type="dxa" w:w="29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11.0 (8.6–12.3)</w:t>
            </w:r>
          </w:p>
        </w:tc>
        <w:tc>
          <w:tcPr>
            <w:tcW w:type="dxa" w:w="12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i/>
                <w:iCs/>
                <w:sz w:val="17"/>
                <w:szCs w:val="17"/>
              </w:rPr>
              <w:t xml:space="preserve">Calculated</w:t>
            </w:r>
          </w:p>
        </w:tc>
        <w:tc>
          <w:tcPr>
            <w:tcW w:type="dxa" w:w="4300"/>
            <w:tcBorders>
              <w:top w:val="single" w:color="C3C2B7" w:sz="4"/>
              <w:left w:val="single" w:color="C3C2B7" w:sz="4"/>
              <w:bottom w:val="single" w:color="C3C2B7" w:sz="4"/>
              <w:right w:val="single" w:color="C3C2B7" w:sz="4"/>
            </w:tcBorders>
            <w:tcMar>
              <w:top w:type="dxa" w:w="60"/>
              <w:left w:type="dxa" w:w="90"/>
              <w:bottom w:type="dxa" w:w="60"/>
              <w:right w:type="dxa" w:w="90"/>
            </w:tcMar>
          </w:tcPr>
          <w:p>
            <w:hyperlink w:history="1" r:id="rId4ninbgm8krwmaxvanos9f">
              <w:r>
                <w:rPr>
                  <w:rStyle w:val="Hyperlink"/>
                  <w:rFonts w:ascii="Calibri" w:cs="Calibri" w:eastAsia="Calibri" w:hAnsi="Calibri"/>
                  <w:sz w:val="17"/>
                  <w:szCs w:val="17"/>
                </w:rPr>
                <w:t xml:space="preserve">Land area of 6 RRV counties (7,899 sq mi, Census Gazetteer) ÷ 15 ND receiving sites (American Crystal 12, Minn-Dak 3); mean trip ⅔ radius × 4/π</w:t>
              </w:r>
            </w:hyperlink>
          </w:p>
        </w:tc>
      </w:tr>
      <w:tr>
        <w:tc>
          <w:tcPr>
            <w:tcW w:type="dxa" w:w="24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Field-to-bin one-way miles</w:t>
            </w:r>
          </w:p>
        </w:tc>
        <w:tc>
          <w:tcPr>
            <w:tcW w:type="dxa" w:w="29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2.0 (1.4–2.8)</w:t>
            </w:r>
          </w:p>
        </w:tc>
        <w:tc>
          <w:tcPr>
            <w:tcW w:type="dxa" w:w="12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i/>
                <w:iCs/>
                <w:sz w:val="17"/>
                <w:szCs w:val="17"/>
              </w:rPr>
              <w:t xml:space="preserve">Calculated + bound</w:t>
            </w:r>
          </w:p>
        </w:tc>
        <w:tc>
          <w:tcPr>
            <w:tcW w:type="dxa" w:w="4300"/>
            <w:tcBorders>
              <w:top w:val="single" w:color="C3C2B7" w:sz="4"/>
              <w:left w:val="single" w:color="C3C2B7" w:sz="4"/>
              <w:bottom w:val="single" w:color="C3C2B7" w:sz="4"/>
              <w:right w:val="single" w:color="C3C2B7" w:sz="4"/>
            </w:tcBorders>
            <w:tcMar>
              <w:top w:type="dxa" w:w="60"/>
              <w:left w:type="dxa" w:w="90"/>
              <w:bottom w:type="dxa" w:w="60"/>
              <w:right w:type="dxa" w:w="90"/>
            </w:tcMar>
          </w:tcPr>
          <w:p>
            <w:hyperlink w:history="1" r:id="rIdsfmtmapheq5grox4i-e7l">
              <w:r>
                <w:rPr>
                  <w:rStyle w:val="Hyperlink"/>
                  <w:rFonts w:ascii="Calibri" w:cs="Calibri" w:eastAsia="Calibri" w:hAnsi="Calibri"/>
                  <w:sz w:val="17"/>
                  <w:szCs w:val="17"/>
                </w:rPr>
                <w:t xml:space="preserve">Acre-weighted farm size 2,797 ac (Census Table 9); cropland 49% of ND land; farm operates 50% of nearby cropland (bound 25–100%)</w:t>
              </w:r>
            </w:hyperlink>
          </w:p>
        </w:tc>
      </w:tr>
      <w:tr>
        <w:tc>
          <w:tcPr>
            <w:tcW w:type="dxa" w:w="10800"/>
            <w:gridSpan w:val="4"/>
            <w:tcBorders>
              <w:top w:val="single" w:color="C3C2B7" w:sz="4"/>
              <w:left w:val="single" w:color="C3C2B7" w:sz="4"/>
              <w:bottom w:val="single" w:color="C3C2B7" w:sz="4"/>
              <w:right w:val="single" w:color="C3C2B7" w:sz="4"/>
            </w:tcBorders>
            <w:shd w:fill="E8F0FB" w:color="auto" w:val="clear"/>
            <w:tcMar>
              <w:top w:type="dxa" w:w="60"/>
              <w:left w:type="dxa" w:w="90"/>
              <w:bottom w:type="dxa" w:w="60"/>
              <w:right w:type="dxa" w:w="90"/>
            </w:tcMar>
          </w:tcPr>
          <w:p>
            <w:r>
              <w:rPr>
                <w:rFonts w:ascii="Calibri" w:cs="Calibri" w:eastAsia="Calibri" w:hAnsi="Calibri"/>
                <w:b/>
                <w:bCs/>
                <w:sz w:val="18"/>
                <w:szCs w:val="18"/>
              </w:rPr>
              <w:t xml:space="preserve">Calves and fertilizer</w:t>
            </w:r>
          </w:p>
        </w:tc>
      </w:tr>
      <w:tr>
        <w:tc>
          <w:tcPr>
            <w:tcW w:type="dxa" w:w="24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Calves shipped in window</w:t>
            </w:r>
          </w:p>
        </w:tc>
        <w:tc>
          <w:tcPr>
            <w:tcW w:type="dxa" w:w="29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860,000 calf crop × 50% (bound 0–100%)</w:t>
            </w:r>
          </w:p>
        </w:tc>
        <w:tc>
          <w:tcPr>
            <w:tcW w:type="dxa" w:w="12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i/>
                <w:iCs/>
                <w:sz w:val="17"/>
                <w:szCs w:val="17"/>
              </w:rPr>
              <w:t xml:space="preserve">Sourced + bound</w:t>
            </w:r>
          </w:p>
        </w:tc>
        <w:tc>
          <w:tcPr>
            <w:tcW w:type="dxa" w:w="43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7"/>
                <w:szCs w:val="17"/>
              </w:rPr>
              <w:t xml:space="preserve">NASS Cattle, Jan. 2026; no monthly shipment data published</w:t>
            </w:r>
          </w:p>
        </w:tc>
      </w:tr>
      <w:tr>
        <w:tc>
          <w:tcPr>
            <w:tcW w:type="dxa" w:w="24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Calves per load; trip length</w:t>
            </w:r>
          </w:p>
        </w:tc>
        <w:tc>
          <w:tcPr>
            <w:tcW w:type="dxa" w:w="29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80 head; 80-mile round trip</w:t>
            </w:r>
          </w:p>
        </w:tc>
        <w:tc>
          <w:tcPr>
            <w:tcW w:type="dxa" w:w="12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i/>
                <w:iCs/>
                <w:sz w:val="17"/>
                <w:szCs w:val="17"/>
              </w:rPr>
              <w:t xml:space="preserve">Sourced / calculated</w:t>
            </w:r>
          </w:p>
        </w:tc>
        <w:tc>
          <w:tcPr>
            <w:tcW w:type="dxa" w:w="4300"/>
            <w:tcBorders>
              <w:top w:val="single" w:color="C3C2B7" w:sz="4"/>
              <w:left w:val="single" w:color="C3C2B7" w:sz="4"/>
              <w:bottom w:val="single" w:color="C3C2B7" w:sz="4"/>
              <w:right w:val="single" w:color="C3C2B7" w:sz="4"/>
            </w:tcBorders>
            <w:tcMar>
              <w:top w:type="dxa" w:w="60"/>
              <w:left w:type="dxa" w:w="90"/>
              <w:bottom w:type="dxa" w:w="60"/>
              <w:right w:type="dxa" w:w="90"/>
            </w:tcMar>
          </w:tcPr>
          <w:p>
            <w:hyperlink w:history="1" r:id="rIdwfc5qasqtc7rahdhhr5qt">
              <w:r>
                <w:rPr>
                  <w:rStyle w:val="Hyperlink"/>
                  <w:rFonts w:ascii="Calibri" w:cs="Calibri" w:eastAsia="Calibri" w:hAnsi="Calibri"/>
                  <w:sz w:val="17"/>
                  <w:szCs w:val="17"/>
                </w:rPr>
                <w:t xml:space="preserve">OSU Beef Team (pot load ~80 head of 500-lb calves); ND land ÷ 10 licensed cattle auctions (NDDA)</w:t>
              </w:r>
            </w:hyperlink>
          </w:p>
        </w:tc>
      </w:tr>
      <w:tr>
        <w:tc>
          <w:tcPr>
            <w:tcW w:type="dxa" w:w="24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Fall anhydrous ammonia hauled</w:t>
            </w:r>
          </w:p>
        </w:tc>
        <w:tc>
          <w:tcPr>
            <w:tcW w:type="dxa" w:w="29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396k t NH3 × 50% fall (bound 0–100%); 2.1-t nurse tanks; 56-mi round trip; 7.6 mpg</w:t>
            </w:r>
          </w:p>
        </w:tc>
        <w:tc>
          <w:tcPr>
            <w:tcW w:type="dxa" w:w="12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i/>
                <w:iCs/>
                <w:sz w:val="17"/>
                <w:szCs w:val="17"/>
              </w:rPr>
              <w:t xml:space="preserve">Calculated + bound</w:t>
            </w:r>
          </w:p>
        </w:tc>
        <w:tc>
          <w:tcPr>
            <w:tcW w:type="dxa" w:w="4300"/>
            <w:tcBorders>
              <w:top w:val="single" w:color="C3C2B7" w:sz="4"/>
              <w:left w:val="single" w:color="C3C2B7" w:sz="4"/>
              <w:bottom w:val="single" w:color="C3C2B7" w:sz="4"/>
              <w:right w:val="single" w:color="C3C2B7" w:sz="4"/>
            </w:tcBorders>
            <w:tcMar>
              <w:top w:type="dxa" w:w="60"/>
              <w:left w:type="dxa" w:w="90"/>
              <w:bottom w:type="dxa" w:w="60"/>
              <w:right w:type="dxa" w:w="90"/>
            </w:tcMar>
          </w:tcPr>
          <w:p>
            <w:hyperlink w:history="1" r:id="rIdngyw8wstm6cbpywcyews6">
              <w:r>
                <w:rPr>
                  <w:rStyle w:val="Hyperlink"/>
                  <w:rFonts w:ascii="Calibri" w:cs="Calibri" w:eastAsia="Calibri" w:hAnsi="Calibri"/>
                  <w:sz w:val="17"/>
                  <w:szCs w:val="17"/>
                </w:rPr>
                <w:t xml:space="preserve">Corn acres × 146 lb N/ac (USDA ERS) ÷ 82% N; NDSU bars fall NH3 before Oct. 1</w:t>
              </w:r>
            </w:hyperlink>
          </w:p>
        </w:tc>
      </w:tr>
      <w:tr>
        <w:tc>
          <w:tcPr>
            <w:tcW w:type="dxa" w:w="10800"/>
            <w:gridSpan w:val="4"/>
            <w:tcBorders>
              <w:top w:val="single" w:color="C3C2B7" w:sz="4"/>
              <w:left w:val="single" w:color="C3C2B7" w:sz="4"/>
              <w:bottom w:val="single" w:color="C3C2B7" w:sz="4"/>
              <w:right w:val="single" w:color="C3C2B7" w:sz="4"/>
            </w:tcBorders>
            <w:shd w:fill="E8F0FB" w:color="auto" w:val="clear"/>
            <w:tcMar>
              <w:top w:type="dxa" w:w="60"/>
              <w:left w:type="dxa" w:w="90"/>
              <w:bottom w:type="dxa" w:w="60"/>
              <w:right w:type="dxa" w:w="90"/>
            </w:tcMar>
          </w:tcPr>
          <w:p>
            <w:r>
              <w:rPr>
                <w:rFonts w:ascii="Calibri" w:cs="Calibri" w:eastAsia="Calibri" w:hAnsi="Calibri"/>
                <w:b/>
                <w:bCs/>
                <w:sz w:val="18"/>
                <w:szCs w:val="18"/>
              </w:rPr>
              <w:t xml:space="preserve">Switching</w:t>
            </w:r>
          </w:p>
        </w:tc>
      </w:tr>
      <w:tr>
        <w:tc>
          <w:tcPr>
            <w:tcW w:type="dxa" w:w="24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Heavy farm trucks fueled from own tanks</w:t>
            </w:r>
          </w:p>
        </w:tc>
        <w:tc>
          <w:tcPr>
            <w:tcW w:type="dxa" w:w="29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53% (49%–55%)</w:t>
            </w:r>
          </w:p>
        </w:tc>
        <w:tc>
          <w:tcPr>
            <w:tcW w:type="dxa" w:w="12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i/>
                <w:iCs/>
                <w:sz w:val="17"/>
                <w:szCs w:val="17"/>
              </w:rPr>
              <w:t xml:space="preserve">Sourced (proxy)</w:t>
            </w:r>
          </w:p>
        </w:tc>
        <w:tc>
          <w:tcPr>
            <w:tcW w:type="dxa" w:w="4300"/>
            <w:tcBorders>
              <w:top w:val="single" w:color="C3C2B7" w:sz="4"/>
              <w:left w:val="single" w:color="C3C2B7" w:sz="4"/>
              <w:bottom w:val="single" w:color="C3C2B7" w:sz="4"/>
              <w:right w:val="single" w:color="C3C2B7" w:sz="4"/>
            </w:tcBorders>
            <w:tcMar>
              <w:top w:type="dxa" w:w="60"/>
              <w:left w:type="dxa" w:w="90"/>
              <w:bottom w:type="dxa" w:w="60"/>
              <w:right w:type="dxa" w:w="90"/>
            </w:tcMar>
          </w:tcPr>
          <w:p>
            <w:hyperlink w:history="1" r:id="rIdwgsmln3xmk8fkow0ftcyc">
              <w:r>
                <w:rPr>
                  <w:rStyle w:val="Hyperlink"/>
                  <w:rFonts w:ascii="Calibri" w:cs="Calibri" w:eastAsia="Calibri" w:hAnsi="Calibri"/>
                  <w:sz w:val="17"/>
                  <w:szCs w:val="17"/>
                </w:rPr>
                <w:t xml:space="preserve">2021 VIUS microdata, Class 6–8 diesel farm trucks (n≈2,300); ND-only 64%, Northern Plains 47%</w:t>
              </w:r>
            </w:hyperlink>
          </w:p>
        </w:tc>
      </w:tr>
      <w:tr>
        <w:tc>
          <w:tcPr>
            <w:tcW w:type="dxa" w:w="24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Hauls not crossing into MN/SD</w:t>
            </w:r>
          </w:p>
        </w:tc>
        <w:tc>
          <w:tcPr>
            <w:tcW w:type="dxa" w:w="29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96.5% (94.8%–97.3%)</w:t>
            </w:r>
          </w:p>
        </w:tc>
        <w:tc>
          <w:tcPr>
            <w:tcW w:type="dxa" w:w="12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i/>
                <w:iCs/>
                <w:sz w:val="17"/>
                <w:szCs w:val="17"/>
              </w:rPr>
              <w:t xml:space="preserve">Calculated</w:t>
            </w:r>
          </w:p>
        </w:tc>
        <w:tc>
          <w:tcPr>
            <w:tcW w:type="dxa" w:w="4300"/>
            <w:tcBorders>
              <w:top w:val="single" w:color="C3C2B7" w:sz="4"/>
              <w:left w:val="single" w:color="C3C2B7" w:sz="4"/>
              <w:bottom w:val="single" w:color="C3C2B7" w:sz="4"/>
              <w:right w:val="single" w:color="C3C2B7" w:sz="4"/>
            </w:tcBorders>
            <w:tcMar>
              <w:top w:type="dxa" w:w="60"/>
              <w:left w:type="dxa" w:w="90"/>
              <w:bottom w:type="dxa" w:w="60"/>
              <w:right w:type="dxa" w:w="90"/>
            </w:tcMar>
          </w:tcPr>
          <w:p>
            <w:hyperlink w:history="1" r:id="rIdbo9tu2mewyz4mg0ykmows">
              <w:r>
                <w:rPr>
                  <w:rStyle w:val="Hyperlink"/>
                  <w:rFonts w:ascii="Calibri" w:cs="Calibri" w:eastAsia="Calibri" w:hAnsi="Calibri"/>
                  <w:sz w:val="17"/>
                  <w:szCs w:val="17"/>
                </w:rPr>
                <w:t xml:space="preserve">26% of ND cropland in border counties (Census Table 8) × share of delivery circle across the line</w:t>
              </w:r>
            </w:hyperlink>
          </w:p>
        </w:tc>
      </w:tr>
      <w:tr>
        <w:tc>
          <w:tcPr>
            <w:tcW w:type="dxa" w:w="24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Farmers willing to take federal penalty risk</w:t>
            </w:r>
          </w:p>
        </w:tc>
        <w:tc>
          <w:tcPr>
            <w:tcW w:type="dxa" w:w="29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100%</w:t>
            </w:r>
          </w:p>
        </w:tc>
        <w:tc>
          <w:tcPr>
            <w:tcW w:type="dxa" w:w="12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i/>
                <w:iCs/>
                <w:sz w:val="17"/>
                <w:szCs w:val="17"/>
              </w:rPr>
              <w:t xml:space="preserve">Assumption</w:t>
            </w:r>
          </w:p>
        </w:tc>
        <w:tc>
          <w:tcPr>
            <w:tcW w:type="dxa" w:w="4300"/>
            <w:tcBorders>
              <w:top w:val="single" w:color="C3C2B7" w:sz="4"/>
              <w:left w:val="single" w:color="C3C2B7" w:sz="4"/>
              <w:bottom w:val="single" w:color="C3C2B7" w:sz="4"/>
              <w:right w:val="single" w:color="C3C2B7" w:sz="4"/>
            </w:tcBorders>
            <w:tcMar>
              <w:top w:type="dxa" w:w="60"/>
              <w:left w:type="dxa" w:w="90"/>
              <w:bottom w:type="dxa" w:w="60"/>
              <w:right w:type="dxa" w:w="90"/>
            </w:tcMar>
          </w:tcPr>
          <w:p>
            <w:hyperlink w:history="1" r:id="rIdk_hqj7lc8lkniq2tbkt3s">
              <w:r>
                <w:rPr>
                  <w:rStyle w:val="Hyperlink"/>
                  <w:rFonts w:ascii="Calibri" w:cs="Calibri" w:eastAsia="Calibri" w:hAnsi="Calibri"/>
                  <w:sz w:val="17"/>
                  <w:szCs w:val="17"/>
                </w:rPr>
                <w:t xml:space="preserve">Upper bound; no IRS relief as of Oct. 2, 2026 (penalty ≥ $1,000 or $10/gal)</w:t>
              </w:r>
            </w:hyperlink>
          </w:p>
        </w:tc>
      </w:tr>
      <w:tr>
        <w:tc>
          <w:tcPr>
            <w:tcW w:type="dxa" w:w="24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Farm pickups</w:t>
            </w:r>
          </w:p>
        </w:tc>
        <w:tc>
          <w:tcPr>
            <w:tcW w:type="dxa" w:w="29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Excluded</w:t>
            </w:r>
          </w:p>
        </w:tc>
        <w:tc>
          <w:tcPr>
            <w:tcW w:type="dxa" w:w="12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i/>
                <w:iCs/>
                <w:sz w:val="17"/>
                <w:szCs w:val="17"/>
              </w:rPr>
              <w:t xml:space="preserve">Scope choice</w:t>
            </w:r>
          </w:p>
        </w:tc>
        <w:tc>
          <w:tcPr>
            <w:tcW w:type="dxa" w:w="43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7"/>
                <w:szCs w:val="17"/>
              </w:rPr>
              <w:t xml:space="preserve">VIUS diesel farm pickup sample too thin (effective n ≈ 12); biases totals down</w:t>
            </w:r>
          </w:p>
        </w:tc>
      </w:tr>
      <w:tr>
        <w:tc>
          <w:tcPr>
            <w:tcW w:type="dxa" w:w="10800"/>
            <w:gridSpan w:val="4"/>
            <w:tcBorders>
              <w:top w:val="single" w:color="C3C2B7" w:sz="4"/>
              <w:left w:val="single" w:color="C3C2B7" w:sz="4"/>
              <w:bottom w:val="single" w:color="C3C2B7" w:sz="4"/>
              <w:right w:val="single" w:color="C3C2B7" w:sz="4"/>
            </w:tcBorders>
            <w:shd w:fill="E8F0FB" w:color="auto" w:val="clear"/>
            <w:tcMar>
              <w:top w:type="dxa" w:w="60"/>
              <w:left w:type="dxa" w:w="90"/>
              <w:bottom w:type="dxa" w:w="60"/>
              <w:right w:type="dxa" w:w="90"/>
            </w:tcMar>
          </w:tcPr>
          <w:p>
            <w:r>
              <w:rPr>
                <w:rFonts w:ascii="Calibri" w:cs="Calibri" w:eastAsia="Calibri" w:hAnsi="Calibri"/>
                <w:b/>
                <w:bCs/>
                <w:sz w:val="18"/>
                <w:szCs w:val="18"/>
              </w:rPr>
              <w:t xml:space="preserve">Context</w:t>
            </w:r>
          </w:p>
        </w:tc>
      </w:tr>
      <w:tr>
        <w:tc>
          <w:tcPr>
            <w:tcW w:type="dxa" w:w="24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Harvest fuel per acre (combine + grain cart)</w:t>
            </w:r>
          </w:p>
        </w:tc>
        <w:tc>
          <w:tcPr>
            <w:tcW w:type="dxa" w:w="29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Corn/beets 3.44; soybeans/sunflower/dry beans 3.48 gal/ac</w:t>
            </w:r>
          </w:p>
        </w:tc>
        <w:tc>
          <w:tcPr>
            <w:tcW w:type="dxa" w:w="12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i w:val="false"/>
                <w:iCs w:val="false"/>
                <w:sz w:val="17"/>
                <w:szCs w:val="17"/>
              </w:rPr>
              <w:t xml:space="preserve">Sourced</w:t>
            </w:r>
          </w:p>
        </w:tc>
        <w:tc>
          <w:tcPr>
            <w:tcW w:type="dxa" w:w="4300"/>
            <w:tcBorders>
              <w:top w:val="single" w:color="C3C2B7" w:sz="4"/>
              <w:left w:val="single" w:color="C3C2B7" w:sz="4"/>
              <w:bottom w:val="single" w:color="C3C2B7" w:sz="4"/>
              <w:right w:val="single" w:color="C3C2B7" w:sz="4"/>
            </w:tcBorders>
            <w:tcMar>
              <w:top w:type="dxa" w:w="60"/>
              <w:left w:type="dxa" w:w="90"/>
              <w:bottom w:type="dxa" w:w="60"/>
              <w:right w:type="dxa" w:w="90"/>
            </w:tcMar>
          </w:tcPr>
          <w:p>
            <w:hyperlink w:history="1" r:id="rIdyhsxyr9p_8aeduaf64qo3">
              <w:r>
                <w:rPr>
                  <w:rStyle w:val="Hyperlink"/>
                  <w:rFonts w:ascii="Calibri" w:cs="Calibri" w:eastAsia="Calibri" w:hAnsi="Calibri"/>
                  <w:sz w:val="17"/>
                  <w:szCs w:val="17"/>
                </w:rPr>
                <w:t xml:space="preserve">UMN Machinery Cost Estimates, July 2024</w:t>
              </w:r>
            </w:hyperlink>
          </w:p>
        </w:tc>
      </w:tr>
      <w:tr>
        <w:tc>
          <w:tcPr>
            <w:tcW w:type="dxa" w:w="24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Fall tillage and fall anhydrous field fuel</w:t>
            </w:r>
          </w:p>
        </w:tc>
        <w:tc>
          <w:tcPr>
            <w:tcW w:type="dxa" w:w="29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4.70M intensive-till ac × 0.7 gal × 50%; corn ac × 0.55 gal × 50%</w:t>
            </w:r>
          </w:p>
        </w:tc>
        <w:tc>
          <w:tcPr>
            <w:tcW w:type="dxa" w:w="12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i/>
                <w:iCs/>
                <w:sz w:val="17"/>
                <w:szCs w:val="17"/>
              </w:rPr>
              <w:t xml:space="preserve">Sourced + bound</w:t>
            </w:r>
          </w:p>
        </w:tc>
        <w:tc>
          <w:tcPr>
            <w:tcW w:type="dxa" w:w="4300"/>
            <w:tcBorders>
              <w:top w:val="single" w:color="C3C2B7" w:sz="4"/>
              <w:left w:val="single" w:color="C3C2B7" w:sz="4"/>
              <w:bottom w:val="single" w:color="C3C2B7" w:sz="4"/>
              <w:right w:val="single" w:color="C3C2B7" w:sz="4"/>
            </w:tcBorders>
            <w:tcMar>
              <w:top w:type="dxa" w:w="60"/>
              <w:left w:type="dxa" w:w="90"/>
              <w:bottom w:type="dxa" w:w="60"/>
              <w:right w:type="dxa" w:w="90"/>
            </w:tcMar>
          </w:tcPr>
          <w:p>
            <w:hyperlink w:history="1" r:id="rIdgajv01q2qkelhcklc-p-a">
              <w:r>
                <w:rPr>
                  <w:rStyle w:val="Hyperlink"/>
                  <w:rFonts w:ascii="Calibri" w:cs="Calibri" w:eastAsia="Calibri" w:hAnsi="Calibri"/>
                  <w:sz w:val="17"/>
                  <w:szCs w:val="17"/>
                </w:rPr>
                <w:t xml:space="preserve">Census Table 47; UMN; ISU PM 709; fall shares bounded 0–100%</w:t>
              </w:r>
            </w:hyperlink>
          </w:p>
        </w:tc>
      </w:tr>
      <w:tr>
        <w:tc>
          <w:tcPr>
            <w:tcW w:type="dxa" w:w="24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Annual ND farm diesel</w:t>
            </w:r>
          </w:p>
        </w:tc>
        <w:tc>
          <w:tcPr>
            <w:tcW w:type="dxa" w:w="29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133M gal (113M gal–195M gal)</w:t>
            </w:r>
          </w:p>
        </w:tc>
        <w:tc>
          <w:tcPr>
            <w:tcW w:type="dxa" w:w="12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i/>
                <w:iCs/>
                <w:sz w:val="17"/>
                <w:szCs w:val="17"/>
              </w:rPr>
              <w:t xml:space="preserve">Calculated</w:t>
            </w:r>
          </w:p>
        </w:tc>
        <w:tc>
          <w:tcPr>
            <w:tcW w:type="dxa" w:w="4300"/>
            <w:tcBorders>
              <w:top w:val="single" w:color="C3C2B7" w:sz="4"/>
              <w:left w:val="single" w:color="C3C2B7" w:sz="4"/>
              <w:bottom w:val="single" w:color="C3C2B7" w:sz="4"/>
              <w:right w:val="single" w:color="C3C2B7" w:sz="4"/>
            </w:tcBorders>
            <w:tcMar>
              <w:top w:type="dxa" w:w="60"/>
              <w:left w:type="dxa" w:w="90"/>
              <w:bottom w:type="dxa" w:w="60"/>
              <w:right w:type="dxa" w:w="90"/>
            </w:tcMar>
          </w:tcPr>
          <w:p>
            <w:hyperlink w:history="1" r:id="rIdbrepxqmrv_nkdukcf37e1">
              <w:r>
                <w:rPr>
                  <w:rStyle w:val="Hyperlink"/>
                  <w:rFonts w:ascii="Calibri" w:cs="Calibri" w:eastAsia="Calibri" w:hAnsi="Calibri"/>
                  <w:sz w:val="17"/>
                  <w:szCs w:val="17"/>
                </w:rPr>
                <w:t xml:space="preserve">ERS 2025 ND diesel expense $359.8M ÷ $3.19/gal (low); EIA farm distillate 2016–20 (avg) and 2020 (high)</w:t>
              </w:r>
            </w:hyperlink>
          </w:p>
        </w:tc>
      </w:tr>
      <w:tr>
        <w:tc>
          <w:tcPr>
            <w:tcW w:type="dxa" w:w="24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ND farms; harvested cropland</w:t>
            </w:r>
          </w:p>
        </w:tc>
        <w:tc>
          <w:tcPr>
            <w:tcW w:type="dxa" w:w="29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25,068 farms; 21.8M acres</w:t>
            </w:r>
          </w:p>
        </w:tc>
        <w:tc>
          <w:tcPr>
            <w:tcW w:type="dxa" w:w="12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i w:val="false"/>
                <w:iCs w:val="false"/>
                <w:sz w:val="17"/>
                <w:szCs w:val="17"/>
              </w:rPr>
              <w:t xml:space="preserve">Sourced</w:t>
            </w:r>
          </w:p>
        </w:tc>
        <w:tc>
          <w:tcPr>
            <w:tcW w:type="dxa" w:w="4300"/>
            <w:tcBorders>
              <w:top w:val="single" w:color="C3C2B7" w:sz="4"/>
              <w:left w:val="single" w:color="C3C2B7" w:sz="4"/>
              <w:bottom w:val="single" w:color="C3C2B7" w:sz="4"/>
              <w:right w:val="single" w:color="C3C2B7" w:sz="4"/>
            </w:tcBorders>
            <w:tcMar>
              <w:top w:type="dxa" w:w="60"/>
              <w:left w:type="dxa" w:w="90"/>
              <w:bottom w:type="dxa" w:w="60"/>
              <w:right w:type="dxa" w:w="90"/>
            </w:tcMar>
          </w:tcPr>
          <w:p>
            <w:hyperlink w:history="1" r:id="rIdihrvedeulpjuengpnx0kb">
              <w:r>
                <w:rPr>
                  <w:rStyle w:val="Hyperlink"/>
                  <w:rFonts w:ascii="Calibri" w:cs="Calibri" w:eastAsia="Calibri" w:hAnsi="Calibri"/>
                  <w:sz w:val="17"/>
                  <w:szCs w:val="17"/>
                </w:rPr>
                <w:t xml:space="preserve">2022 Census of Agriculture, Table 1</w:t>
              </w:r>
            </w:hyperlink>
          </w:p>
        </w:tc>
      </w:tr>
      <w:tr>
        <w:tc>
          <w:tcPr>
            <w:tcW w:type="dxa" w:w="24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Highway Tax Distribution Fund split</w:t>
            </w:r>
          </w:p>
        </w:tc>
        <w:tc>
          <w:tcPr>
            <w:tcW w:type="dxa" w:w="29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State 60%; counties 35% (27% of that to cities); townships 3.4%; transit 1.6%</w:t>
            </w:r>
          </w:p>
        </w:tc>
        <w:tc>
          <w:tcPr>
            <w:tcW w:type="dxa" w:w="12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i w:val="false"/>
                <w:iCs w:val="false"/>
                <w:sz w:val="17"/>
                <w:szCs w:val="17"/>
              </w:rPr>
              <w:t xml:space="preserve">Sourced</w:t>
            </w:r>
          </w:p>
        </w:tc>
        <w:tc>
          <w:tcPr>
            <w:tcW w:type="dxa" w:w="4300"/>
            <w:tcBorders>
              <w:top w:val="single" w:color="C3C2B7" w:sz="4"/>
              <w:left w:val="single" w:color="C3C2B7" w:sz="4"/>
              <w:bottom w:val="single" w:color="C3C2B7" w:sz="4"/>
              <w:right w:val="single" w:color="C3C2B7" w:sz="4"/>
            </w:tcBorders>
            <w:tcMar>
              <w:top w:type="dxa" w:w="60"/>
              <w:left w:type="dxa" w:w="90"/>
              <w:bottom w:type="dxa" w:w="60"/>
              <w:right w:type="dxa" w:w="90"/>
            </w:tcMar>
          </w:tcPr>
          <w:p>
            <w:hyperlink w:history="1" r:id="rIdcd2bqfmwveeqesvjaxprb">
              <w:r>
                <w:rPr>
                  <w:rStyle w:val="Hyperlink"/>
                  <w:rFonts w:ascii="Calibri" w:cs="Calibri" w:eastAsia="Calibri" w:hAnsi="Calibri"/>
                  <w:sz w:val="17"/>
                  <w:szCs w:val="17"/>
                </w:rPr>
                <w:t xml:space="preserve">NDCC 54-27-19</w:t>
              </w:r>
            </w:hyperlink>
          </w:p>
        </w:tc>
      </w:tr>
      <w:tr>
        <w:tc>
          <w:tcPr>
            <w:tcW w:type="dxa" w:w="24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ND taxable highway diesel, Oct.–Nov. (+2 Sept. days)</w:t>
            </w:r>
          </w:p>
        </w:tc>
        <w:tc>
          <w:tcPr>
            <w:tcW w:type="dxa" w:w="29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59.3 million gal</w:t>
            </w:r>
          </w:p>
        </w:tc>
        <w:tc>
          <w:tcPr>
            <w:tcW w:type="dxa" w:w="12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i w:val="false"/>
                <w:iCs w:val="false"/>
                <w:sz w:val="17"/>
                <w:szCs w:val="17"/>
              </w:rPr>
              <w:t xml:space="preserve">Sourced</w:t>
            </w:r>
          </w:p>
        </w:tc>
        <w:tc>
          <w:tcPr>
            <w:tcW w:type="dxa" w:w="4300"/>
            <w:tcBorders>
              <w:top w:val="single" w:color="C3C2B7" w:sz="4"/>
              <w:left w:val="single" w:color="C3C2B7" w:sz="4"/>
              <w:bottom w:val="single" w:color="C3C2B7" w:sz="4"/>
              <w:right w:val="single" w:color="C3C2B7" w:sz="4"/>
            </w:tcBorders>
            <w:tcMar>
              <w:top w:type="dxa" w:w="60"/>
              <w:left w:type="dxa" w:w="90"/>
              <w:bottom w:type="dxa" w:w="60"/>
              <w:right w:type="dxa" w:w="90"/>
            </w:tcMar>
          </w:tcPr>
          <w:p>
            <w:hyperlink w:history="1" r:id="rIde0jzehocoz2qmujokla45">
              <w:r>
                <w:rPr>
                  <w:rStyle w:val="Hyperlink"/>
                  <w:rFonts w:ascii="Calibri" w:cs="Calibri" w:eastAsia="Calibri" w:hAnsi="Calibri"/>
                  <w:sz w:val="17"/>
                  <w:szCs w:val="17"/>
                </w:rPr>
                <w:t xml:space="preserve">FHWA Highway Statistics 2024, Table MF-33SF</w:t>
              </w:r>
            </w:hyperlink>
          </w:p>
        </w:tc>
      </w:tr>
    </w:tbl>
    <w:p>
      <w:pPr>
        <w:pStyle w:val="Heading1"/>
        <w:spacing w:after="120" w:before="280"/>
      </w:pPr>
      <w:r>
        <w:rPr>
          <w:rFonts w:ascii="Calibri" w:cs="Calibri" w:eastAsia="Calibri" w:hAnsi="Calibri"/>
        </w:rPr>
        <w:t xml:space="preserve">2. Calculation walk-through</w:t>
      </w:r>
    </w:p>
    <w:p>
      <w:pPr>
        <w:pStyle w:val="Heading2"/>
        <w:spacing w:after="80" w:before="200"/>
      </w:pPr>
      <w:r>
        <w:rPr>
          <w:rFonts w:ascii="Calibri" w:cs="Calibri" w:eastAsia="Calibri" w:hAnsi="Calibri"/>
        </w:rPr>
        <w:t xml:space="preserve">Step 1. Value per gallon</w:t>
      </w:r>
    </w:p>
    <w:p>
      <w:pPr>
        <w:pStyle w:val="ListParagraph"/>
        <w:numPr>
          <w:ilvl w:val="0"/>
          <w:numId w:val="2"/>
        </w:numPr>
        <w:spacing w:after="60"/>
      </w:pPr>
      <w:r>
        <w:rPr>
          <w:rFonts w:ascii="Calibri" w:cs="Calibri" w:eastAsia="Calibri" w:hAnsi="Calibri"/>
          <w:sz w:val="20"/>
          <w:szCs w:val="20"/>
        </w:rPr>
        <w:t xml:space="preserve">Savings per gallon = ND clear tax − ND dyed tax = 23¢ − 4¢ = 19¢.</w:t>
      </w:r>
    </w:p>
    <w:p>
      <w:pPr>
        <w:pStyle w:val="ListParagraph"/>
        <w:numPr>
          <w:ilvl w:val="0"/>
          <w:numId w:val="2"/>
        </w:numPr>
        <w:spacing w:after="60"/>
      </w:pPr>
      <w:r>
        <w:rPr>
          <w:rFonts w:ascii="Calibri" w:cs="Calibri" w:eastAsia="Calibri" w:hAnsi="Calibri"/>
          <w:sz w:val="20"/>
          <w:szCs w:val="20"/>
        </w:rPr>
        <w:t xml:space="preserve">The 24.4¢ federal tax is not relieved, so it is not counted. Federal revenue forgone = $0.</w:t>
      </w:r>
    </w:p>
    <w:p>
      <w:pPr>
        <w:pStyle w:val="ListParagraph"/>
        <w:numPr>
          <w:ilvl w:val="0"/>
          <w:numId w:val="2"/>
        </w:numPr>
        <w:spacing w:after="60"/>
      </w:pPr>
      <w:r>
        <w:rPr>
          <w:rFonts w:ascii="Calibri" w:cs="Calibri" w:eastAsia="Calibri" w:hAnsi="Calibri"/>
          <w:sz w:val="20"/>
          <w:szCs w:val="20"/>
        </w:rPr>
        <w:t xml:space="preserve">Price rise = $6.53 − $3.74 = $2.79/gal; 19¢ ÷ $2.79 = 6.8% of the rise on a covered gallon.</w:t>
      </w:r>
    </w:p>
    <w:p>
      <w:pPr>
        <w:pStyle w:val="Heading2"/>
        <w:spacing w:after="80" w:before="200"/>
      </w:pPr>
      <w:r>
        <w:rPr>
          <w:rFonts w:ascii="Calibri" w:cs="Calibri" w:eastAsia="Calibri" w:hAnsi="Calibri"/>
        </w:rPr>
        <w:t xml:space="preserve">Step 2. Tons harvested inside the window</w:t>
      </w:r>
    </w:p>
    <w:p>
      <w:pPr>
        <w:pStyle w:val="ListParagraph"/>
        <w:numPr>
          <w:ilvl w:val="0"/>
          <w:numId w:val="2"/>
        </w:numPr>
        <w:spacing w:after="60"/>
      </w:pPr>
      <w:r>
        <w:rPr>
          <w:rFonts w:ascii="Calibri" w:cs="Calibri" w:eastAsia="Calibri" w:hAnsi="Calibri"/>
          <w:sz w:val="20"/>
          <w:szCs w:val="20"/>
        </w:rPr>
        <w:t xml:space="preserve">Tons in window = production (tons) × share not yet harvested on Sept. 27 × share of the remainder done by Nov. 30.</w:t>
      </w:r>
    </w:p>
    <w:p>
      <w:pPr>
        <w:pStyle w:val="ListParagraph"/>
        <w:numPr>
          <w:ilvl w:val="0"/>
          <w:numId w:val="2"/>
        </w:numPr>
        <w:spacing w:after="60"/>
      </w:pPr>
      <w:r>
        <w:rPr>
          <w:rFonts w:ascii="Calibri" w:cs="Calibri" w:eastAsia="Calibri" w:hAnsi="Calibri"/>
          <w:sz w:val="20"/>
          <w:szCs w:val="20"/>
        </w:rPr>
        <w:t xml:space="preserve">Corn: 16.20M t × 0.92 × 0.924 = 13.77 million t.</w:t>
      </w:r>
    </w:p>
    <w:p>
      <w:pPr>
        <w:pStyle w:val="ListParagraph"/>
        <w:numPr>
          <w:ilvl w:val="0"/>
          <w:numId w:val="2"/>
        </w:numPr>
        <w:spacing w:after="60"/>
      </w:pPr>
      <w:r>
        <w:rPr>
          <w:rFonts w:ascii="Calibri" w:cs="Calibri" w:eastAsia="Calibri" w:hAnsi="Calibri"/>
          <w:sz w:val="20"/>
          <w:szCs w:val="20"/>
        </w:rPr>
        <w:t xml:space="preserve">Soybeans: 6.11M t × 0.78 × 0.994 = 4.74 million t.</w:t>
      </w:r>
    </w:p>
    <w:p>
      <w:pPr>
        <w:pStyle w:val="ListParagraph"/>
        <w:numPr>
          <w:ilvl w:val="0"/>
          <w:numId w:val="2"/>
        </w:numPr>
        <w:spacing w:after="60"/>
      </w:pPr>
      <w:r>
        <w:rPr>
          <w:rFonts w:ascii="Calibri" w:cs="Calibri" w:eastAsia="Calibri" w:hAnsi="Calibri"/>
          <w:sz w:val="20"/>
          <w:szCs w:val="20"/>
        </w:rPr>
        <w:t xml:space="preserve">Sugarbeets: 5.90M t × 0.75 × 0.987 = 4.36 million t.</w:t>
      </w:r>
    </w:p>
    <w:p>
      <w:pPr>
        <w:pStyle w:val="ListParagraph"/>
        <w:numPr>
          <w:ilvl w:val="0"/>
          <w:numId w:val="2"/>
        </w:numPr>
        <w:spacing w:after="60"/>
      </w:pPr>
      <w:r>
        <w:rPr>
          <w:rFonts w:ascii="Calibri" w:cs="Calibri" w:eastAsia="Calibri" w:hAnsi="Calibri"/>
          <w:sz w:val="20"/>
          <w:szCs w:val="20"/>
        </w:rPr>
        <w:t xml:space="preserve">Sunflower, dry beans, potatoes (other fall crops) = 1.09 million t.</w:t>
      </w:r>
    </w:p>
    <w:p>
      <w:pPr>
        <w:pStyle w:val="Heading2"/>
        <w:spacing w:after="80" w:before="200"/>
      </w:pPr>
      <w:r>
        <w:rPr>
          <w:rFonts w:ascii="Calibri" w:cs="Calibri" w:eastAsia="Calibri" w:hAnsi="Calibri"/>
        </w:rPr>
        <w:t xml:space="preserve">Step 3. Fuel per ton hauled</w:t>
      </w:r>
    </w:p>
    <w:p>
      <w:pPr>
        <w:pStyle w:val="ListParagraph"/>
        <w:numPr>
          <w:ilvl w:val="0"/>
          <w:numId w:val="2"/>
        </w:numPr>
        <w:spacing w:after="60"/>
      </w:pPr>
      <w:r>
        <w:rPr>
          <w:rFonts w:ascii="Calibri" w:cs="Calibri" w:eastAsia="Calibri" w:hAnsi="Calibri"/>
          <w:sz w:val="20"/>
          <w:szCs w:val="20"/>
        </w:rPr>
        <w:t xml:space="preserve">Gallons per ton = (one-way miles ÷ loaded mpg + one-way miles ÷ empty mpg) ÷ tons per load.</w:t>
      </w:r>
    </w:p>
    <w:p>
      <w:pPr>
        <w:pStyle w:val="ListParagraph"/>
        <w:numPr>
          <w:ilvl w:val="0"/>
          <w:numId w:val="2"/>
        </w:numPr>
        <w:spacing w:after="60"/>
      </w:pPr>
      <w:r>
        <w:rPr>
          <w:rFonts w:ascii="Calibri" w:cs="Calibri" w:eastAsia="Calibri" w:hAnsi="Calibri"/>
          <w:sz w:val="20"/>
          <w:szCs w:val="20"/>
        </w:rPr>
        <w:t xml:space="preserve">To elevator/plant: (27.8 ÷ 5.1 + 27.8 ÷ 6.2) ÷ 21.48 = 0.463 gal/t.</w:t>
      </w:r>
    </w:p>
    <w:p>
      <w:pPr>
        <w:pStyle w:val="ListParagraph"/>
        <w:numPr>
          <w:ilvl w:val="0"/>
          <w:numId w:val="2"/>
        </w:numPr>
        <w:spacing w:after="60"/>
      </w:pPr>
      <w:r>
        <w:rPr>
          <w:rFonts w:ascii="Calibri" w:cs="Calibri" w:eastAsia="Calibri" w:hAnsi="Calibri"/>
          <w:sz w:val="20"/>
          <w:szCs w:val="20"/>
        </w:rPr>
        <w:t xml:space="preserve">Sugarbeets to station: (11.0 ÷ 5.1 + 11.0 ÷ 6.2) ÷ 21.48 = 0.183 gal/t.</w:t>
      </w:r>
    </w:p>
    <w:p>
      <w:pPr>
        <w:pStyle w:val="ListParagraph"/>
        <w:numPr>
          <w:ilvl w:val="0"/>
          <w:numId w:val="2"/>
        </w:numPr>
        <w:spacing w:after="60"/>
      </w:pPr>
      <w:r>
        <w:rPr>
          <w:rFonts w:ascii="Calibri" w:cs="Calibri" w:eastAsia="Calibri" w:hAnsi="Calibri"/>
          <w:sz w:val="20"/>
          <w:szCs w:val="20"/>
        </w:rPr>
        <w:t xml:space="preserve">Field to bin: (2.01 ÷ 5.1 + 2.01 ÷ 6.2) ÷ 19.80 = 0.036 gal/t.</w:t>
      </w:r>
    </w:p>
    <w:p>
      <w:pPr>
        <w:pStyle w:val="Heading2"/>
        <w:spacing w:after="80" w:before="200"/>
      </w:pPr>
      <w:r>
        <w:rPr>
          <w:rFonts w:ascii="Calibri" w:cs="Calibri" w:eastAsia="Calibri" w:hAnsi="Calibri"/>
        </w:rPr>
        <w:t xml:space="preserve">Step 4. Category A: hauling the fall harvest = 5.09 million gal</w:t>
      </w:r>
    </w:p>
    <w:p>
      <w:pPr>
        <w:pStyle w:val="ListParagraph"/>
        <w:numPr>
          <w:ilvl w:val="0"/>
          <w:numId w:val="2"/>
        </w:numPr>
        <w:spacing w:after="60"/>
      </w:pPr>
      <w:r>
        <w:rPr>
          <w:rFonts w:ascii="Calibri" w:cs="Calibri" w:eastAsia="Calibri" w:hAnsi="Calibri"/>
          <w:sz w:val="20"/>
          <w:szCs w:val="20"/>
        </w:rPr>
        <w:t xml:space="preserve">Tons to market = corn 13.77 million × 0.367 + soybeans 4.74 million × 0.597 + other fall crops at the pooled share = 8.35 million t.</w:t>
      </w:r>
    </w:p>
    <w:p>
      <w:pPr>
        <w:pStyle w:val="ListParagraph"/>
        <w:numPr>
          <w:ilvl w:val="0"/>
          <w:numId w:val="2"/>
        </w:numPr>
        <w:spacing w:after="60"/>
      </w:pPr>
      <w:r>
        <w:rPr>
          <w:rFonts w:ascii="Calibri" w:cs="Calibri" w:eastAsia="Calibri" w:hAnsi="Calibri"/>
          <w:sz w:val="20"/>
          <w:szCs w:val="20"/>
        </w:rPr>
        <w:t xml:space="preserve">To market: 8.35 million t × 0.463 = 3.86 million gal.</w:t>
      </w:r>
    </w:p>
    <w:p>
      <w:pPr>
        <w:pStyle w:val="ListParagraph"/>
        <w:numPr>
          <w:ilvl w:val="0"/>
          <w:numId w:val="2"/>
        </w:numPr>
        <w:spacing w:after="60"/>
      </w:pPr>
      <w:r>
        <w:rPr>
          <w:rFonts w:ascii="Calibri" w:cs="Calibri" w:eastAsia="Calibri" w:hAnsi="Calibri"/>
          <w:sz w:val="20"/>
          <w:szCs w:val="20"/>
        </w:rPr>
        <w:t xml:space="preserve">Sugarbeets: 4.36 million t × 0.183 = 0.80 million gal.</w:t>
      </w:r>
    </w:p>
    <w:p>
      <w:pPr>
        <w:pStyle w:val="ListParagraph"/>
        <w:numPr>
          <w:ilvl w:val="0"/>
          <w:numId w:val="2"/>
        </w:numPr>
        <w:spacing w:after="60"/>
      </w:pPr>
      <w:r>
        <w:rPr>
          <w:rFonts w:ascii="Calibri" w:cs="Calibri" w:eastAsia="Calibri" w:hAnsi="Calibri"/>
          <w:sz w:val="20"/>
          <w:szCs w:val="20"/>
        </w:rPr>
        <w:t xml:space="preserve">Into bins: tons not hauled straight from the field (corn 67%, soybeans 40%) = 11.79 million t × 0.036 = 0.43 million gal.</w:t>
      </w:r>
    </w:p>
    <w:p>
      <w:pPr>
        <w:pStyle w:val="ListParagraph"/>
        <w:numPr>
          <w:ilvl w:val="0"/>
          <w:numId w:val="2"/>
        </w:numPr>
        <w:spacing w:after="60"/>
      </w:pPr>
      <w:r>
        <w:rPr>
          <w:rFonts w:ascii="Calibri" w:cs="Calibri" w:eastAsia="Calibri" w:hAnsi="Calibri"/>
          <w:sz w:val="20"/>
          <w:szCs w:val="20"/>
        </w:rPr>
        <w:t xml:space="preserve">Total A = 5.09 million gal.</w:t>
      </w:r>
    </w:p>
    <w:p>
      <w:pPr>
        <w:pStyle w:val="Heading2"/>
        <w:spacing w:after="80" w:before="200"/>
      </w:pPr>
      <w:r>
        <w:rPr>
          <w:rFonts w:ascii="Calibri" w:cs="Calibri" w:eastAsia="Calibri" w:hAnsi="Calibri"/>
        </w:rPr>
        <w:t xml:space="preserve">Step 5. Category B: calves and fertilizer = 0.76 million gal</w:t>
      </w:r>
    </w:p>
    <w:p>
      <w:pPr>
        <w:pStyle w:val="ListParagraph"/>
        <w:numPr>
          <w:ilvl w:val="0"/>
          <w:numId w:val="2"/>
        </w:numPr>
        <w:spacing w:after="60"/>
      </w:pPr>
      <w:r>
        <w:rPr>
          <w:rFonts w:ascii="Calibri" w:cs="Calibri" w:eastAsia="Calibri" w:hAnsi="Calibri"/>
          <w:sz w:val="20"/>
          <w:szCs w:val="20"/>
        </w:rPr>
        <w:t xml:space="preserve">Calves: 860,000 × 50% ÷ 80 head per load × 80 mi ÷ 6.2 mpg = 0.069 million gal.</w:t>
      </w:r>
    </w:p>
    <w:p>
      <w:pPr>
        <w:pStyle w:val="ListParagraph"/>
        <w:numPr>
          <w:ilvl w:val="0"/>
          <w:numId w:val="2"/>
        </w:numPr>
        <w:spacing w:after="60"/>
      </w:pPr>
      <w:r>
        <w:rPr>
          <w:rFonts w:ascii="Calibri" w:cs="Calibri" w:eastAsia="Calibri" w:hAnsi="Calibri"/>
          <w:sz w:val="20"/>
          <w:szCs w:val="20"/>
        </w:rPr>
        <w:t xml:space="preserve">Anhydrous: 4.45M ac × 146 lb N ÷ 0.82 ÷ 2,000 = 396k t × 50% ÷ 2.1 t per tank × 55.6 mi ÷ 7.6 mpg = 0.690 million gal.</w:t>
      </w:r>
    </w:p>
    <w:p>
      <w:pPr>
        <w:pStyle w:val="Heading2"/>
        <w:spacing w:after="80" w:before="200"/>
      </w:pPr>
      <w:r>
        <w:rPr>
          <w:rFonts w:ascii="Calibri" w:cs="Calibri" w:eastAsia="Calibri" w:hAnsi="Calibri"/>
        </w:rPr>
        <w:t xml:space="preserve">Step 6. Category C: selling stored wheat and barley = 0.39 million gal</w:t>
      </w:r>
    </w:p>
    <w:p>
      <w:pPr>
        <w:pStyle w:val="ListParagraph"/>
        <w:numPr>
          <w:ilvl w:val="0"/>
          <w:numId w:val="2"/>
        </w:numPr>
        <w:spacing w:after="60"/>
      </w:pPr>
      <w:r>
        <w:rPr>
          <w:rFonts w:ascii="Calibri" w:cs="Calibri" w:eastAsia="Calibri" w:hAnsi="Calibri"/>
          <w:sz w:val="20"/>
          <w:szCs w:val="20"/>
        </w:rPr>
        <w:t xml:space="preserve">Sept. 1–Dec. 1 decline in ND on-farm stocks: wheat 22.1% (2024), 24.0% (2025); barley 6.1% (2024), 33.3% (2025).</w:t>
      </w:r>
    </w:p>
    <w:p>
      <w:pPr>
        <w:pStyle w:val="ListParagraph"/>
        <w:numPr>
          <w:ilvl w:val="0"/>
          <w:numId w:val="2"/>
        </w:numPr>
        <w:spacing w:after="60"/>
      </w:pPr>
      <w:r>
        <w:rPr>
          <w:rFonts w:ascii="Calibri" w:cs="Calibri" w:eastAsia="Calibri" w:hAnsi="Calibri"/>
          <w:sz w:val="20"/>
          <w:szCs w:val="20"/>
        </w:rPr>
        <w:t xml:space="preserve">Each year's rates × 2026 Sept. 1 stocks (wheat 165M bu at 60 lb, barley 18.5M bu at 48 lb) × 63/91 days, averaged over the two years = 0.85 million t.</w:t>
      </w:r>
    </w:p>
    <w:p>
      <w:pPr>
        <w:pStyle w:val="ListParagraph"/>
        <w:numPr>
          <w:ilvl w:val="0"/>
          <w:numId w:val="2"/>
        </w:numPr>
        <w:spacing w:after="60"/>
      </w:pPr>
      <w:r>
        <w:rPr>
          <w:rFonts w:ascii="Calibri" w:cs="Calibri" w:eastAsia="Calibri" w:hAnsi="Calibri"/>
          <w:sz w:val="20"/>
          <w:szCs w:val="20"/>
        </w:rPr>
        <w:t xml:space="preserve">0.85 million t × 0.463 gal/t = 0.39 million gal.</w:t>
      </w:r>
    </w:p>
    <w:p>
      <w:pPr>
        <w:pStyle w:val="Heading2"/>
        <w:spacing w:after="80" w:before="200"/>
      </w:pPr>
      <w:r>
        <w:rPr>
          <w:rFonts w:ascii="Calibri" w:cs="Calibri" w:eastAsia="Calibri" w:hAnsi="Calibri"/>
        </w:rPr>
        <w:t xml:space="preserve">Step 7. Eligible on-road truck gallons = 6.24 million</w:t>
      </w:r>
    </w:p>
    <w:p>
      <w:pPr>
        <w:pStyle w:val="ListParagraph"/>
        <w:numPr>
          <w:ilvl w:val="0"/>
          <w:numId w:val="2"/>
        </w:numPr>
        <w:spacing w:after="60"/>
      </w:pPr>
      <w:r>
        <w:rPr>
          <w:rFonts w:ascii="Calibri" w:cs="Calibri" w:eastAsia="Calibri" w:hAnsi="Calibri"/>
          <w:sz w:val="20"/>
          <w:szCs w:val="20"/>
        </w:rPr>
        <w:t xml:space="preserve">A + B + C = 5.09 million + 0.76 million + 0.39 million = 6.24 million gal. Farm pickups are excluded.</w:t>
      </w:r>
    </w:p>
    <w:p>
      <w:pPr>
        <w:pStyle w:val="Heading2"/>
        <w:spacing w:after="80" w:before="200"/>
      </w:pPr>
      <w:r>
        <w:rPr>
          <w:rFonts w:ascii="Calibri" w:cs="Calibri" w:eastAsia="Calibri" w:hAnsi="Calibri"/>
        </w:rPr>
        <w:t xml:space="preserve">Step 8. Gallons switched to dyed fuel = 3.18 million</w:t>
      </w:r>
    </w:p>
    <w:p>
      <w:pPr>
        <w:pStyle w:val="ListParagraph"/>
        <w:numPr>
          <w:ilvl w:val="0"/>
          <w:numId w:val="2"/>
        </w:numPr>
        <w:spacing w:after="60"/>
      </w:pPr>
      <w:r>
        <w:rPr>
          <w:rFonts w:ascii="Calibri" w:cs="Calibri" w:eastAsia="Calibri" w:hAnsi="Calibri"/>
          <w:sz w:val="20"/>
          <w:szCs w:val="20"/>
        </w:rPr>
        <w:t xml:space="preserve">Share switching = fueled from farm tanks 0.528 × staying in ND 0.965 × willing to take federal risk 1.00 = 0.509.</w:t>
      </w:r>
    </w:p>
    <w:p>
      <w:pPr>
        <w:pStyle w:val="ListParagraph"/>
        <w:numPr>
          <w:ilvl w:val="0"/>
          <w:numId w:val="2"/>
        </w:numPr>
        <w:spacing w:after="60"/>
      </w:pPr>
      <w:r>
        <w:rPr>
          <w:rFonts w:ascii="Calibri" w:cs="Calibri" w:eastAsia="Calibri" w:hAnsi="Calibri"/>
          <w:sz w:val="20"/>
          <w:szCs w:val="20"/>
        </w:rPr>
        <w:t xml:space="preserve">Switched = 6.24 million × 0.509 = 3.18 million gal.</w:t>
      </w:r>
    </w:p>
    <w:p>
      <w:pPr>
        <w:pStyle w:val="ListParagraph"/>
        <w:numPr>
          <w:ilvl w:val="0"/>
          <w:numId w:val="2"/>
        </w:numPr>
        <w:spacing w:after="60"/>
      </w:pPr>
      <w:r>
        <w:rPr>
          <w:rFonts w:ascii="Calibri" w:cs="Calibri" w:eastAsia="Calibri" w:hAnsi="Calibri"/>
          <w:sz w:val="20"/>
          <w:szCs w:val="20"/>
        </w:rPr>
        <w:t xml:space="preserve">Federal risk: the governor's order covers state penalties only. Until the IRS grants relief, a truck caught with dyed fuel on a public road faces a federal penalty of $1,000 or $10 a gallon, whichever is greater. Assuming every farmer accepts that risk makes this an upper bound on this factor.</w:t>
      </w:r>
    </w:p>
    <w:p>
      <w:pPr>
        <w:spacing w:after="80" w:before="120"/>
      </w:pPr>
      <w:r>
        <w:rPr>
          <w:rFonts w:ascii="Calibri" w:cs="Calibri" w:eastAsia="Calibri" w:hAnsi="Calibri"/>
          <w:b/>
          <w:bCs/>
          <w:sz w:val="20"/>
          <w:szCs w:val="20"/>
        </w:rPr>
        <w:t xml:space="preserve">Summary by category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400"/>
        <w:gridCol w:w="1850"/>
        <w:gridCol w:w="1650"/>
        <w:gridCol w:w="1950"/>
        <w:gridCol w:w="1950"/>
      </w:tblGrid>
      <w:tr>
        <w:trPr>
          <w:tblHeader/>
        </w:trPr>
        <w:tc>
          <w:tcPr>
            <w:tcW w:type="dxa" w:w="3400"/>
            <w:tcBorders>
              <w:top w:val="single" w:color="C3C2B7" w:sz="4"/>
              <w:left w:val="single" w:color="C3C2B7" w:sz="4"/>
              <w:bottom w:val="single" w:color="C3C2B7" w:sz="4"/>
              <w:right w:val="single" w:color="C3C2B7" w:sz="4"/>
            </w:tcBorders>
            <w:shd w:fill="1C5CAB" w:color="auto" w:val="clear"/>
            <w:tcMar>
              <w:top w:type="dxa" w:w="60"/>
              <w:left w:type="dxa" w:w="90"/>
              <w:bottom w:type="dxa" w:w="60"/>
              <w:right w:type="dxa" w:w="90"/>
            </w:tcMar>
          </w:tcPr>
          <w:p>
            <w:r>
              <w:rPr>
                <w:rFonts w:ascii="Calibri" w:cs="Calibri" w:eastAsia="Calibri" w:hAnsi="Calibri"/>
                <w:b/>
                <w:bCs/>
                <w:color w:val="FFFFFF"/>
                <w:sz w:val="18"/>
                <w:szCs w:val="18"/>
              </w:rPr>
              <w:t xml:space="preserve">Category</w:t>
            </w:r>
          </w:p>
        </w:tc>
        <w:tc>
          <w:tcPr>
            <w:tcW w:type="dxa" w:w="1850"/>
            <w:tcBorders>
              <w:top w:val="single" w:color="C3C2B7" w:sz="4"/>
              <w:left w:val="single" w:color="C3C2B7" w:sz="4"/>
              <w:bottom w:val="single" w:color="C3C2B7" w:sz="4"/>
              <w:right w:val="single" w:color="C3C2B7" w:sz="4"/>
            </w:tcBorders>
            <w:shd w:fill="1C5CAB" w:color="auto" w:val="clear"/>
            <w:tcMar>
              <w:top w:type="dxa" w:w="60"/>
              <w:left w:type="dxa" w:w="90"/>
              <w:bottom w:type="dxa" w:w="60"/>
              <w:right w:type="dxa" w:w="90"/>
            </w:tcMar>
          </w:tcPr>
          <w:p>
            <w:pPr>
              <w:jc w:val="right"/>
            </w:pPr>
            <w:r>
              <w:rPr>
                <w:rFonts w:ascii="Calibri" w:cs="Calibri" w:eastAsia="Calibri" w:hAnsi="Calibri"/>
                <w:b/>
                <w:bCs/>
                <w:color w:val="FFFFFF"/>
                <w:sz w:val="18"/>
                <w:szCs w:val="18"/>
              </w:rPr>
              <w:t xml:space="preserve">Eligible gallons</w:t>
            </w:r>
          </w:p>
        </w:tc>
        <w:tc>
          <w:tcPr>
            <w:tcW w:type="dxa" w:w="1650"/>
            <w:tcBorders>
              <w:top w:val="single" w:color="C3C2B7" w:sz="4"/>
              <w:left w:val="single" w:color="C3C2B7" w:sz="4"/>
              <w:bottom w:val="single" w:color="C3C2B7" w:sz="4"/>
              <w:right w:val="single" w:color="C3C2B7" w:sz="4"/>
            </w:tcBorders>
            <w:shd w:fill="1C5CAB" w:color="auto" w:val="clear"/>
            <w:tcMar>
              <w:top w:type="dxa" w:w="60"/>
              <w:left w:type="dxa" w:w="90"/>
              <w:bottom w:type="dxa" w:w="60"/>
              <w:right w:type="dxa" w:w="90"/>
            </w:tcMar>
          </w:tcPr>
          <w:p>
            <w:pPr>
              <w:jc w:val="right"/>
            </w:pPr>
            <w:r>
              <w:rPr>
                <w:rFonts w:ascii="Calibri" w:cs="Calibri" w:eastAsia="Calibri" w:hAnsi="Calibri"/>
                <w:b/>
                <w:bCs/>
                <w:color w:val="FFFFFF"/>
                <w:sz w:val="18"/>
                <w:szCs w:val="18"/>
              </w:rPr>
              <w:t xml:space="preserve">Share switching</w:t>
            </w:r>
          </w:p>
        </w:tc>
        <w:tc>
          <w:tcPr>
            <w:tcW w:type="dxa" w:w="1950"/>
            <w:tcBorders>
              <w:top w:val="single" w:color="C3C2B7" w:sz="4"/>
              <w:left w:val="single" w:color="C3C2B7" w:sz="4"/>
              <w:bottom w:val="single" w:color="C3C2B7" w:sz="4"/>
              <w:right w:val="single" w:color="C3C2B7" w:sz="4"/>
            </w:tcBorders>
            <w:shd w:fill="1C5CAB" w:color="auto" w:val="clear"/>
            <w:tcMar>
              <w:top w:type="dxa" w:w="60"/>
              <w:left w:type="dxa" w:w="90"/>
              <w:bottom w:type="dxa" w:w="60"/>
              <w:right w:type="dxa" w:w="90"/>
            </w:tcMar>
          </w:tcPr>
          <w:p>
            <w:pPr>
              <w:jc w:val="right"/>
            </w:pPr>
            <w:r>
              <w:rPr>
                <w:rFonts w:ascii="Calibri" w:cs="Calibri" w:eastAsia="Calibri" w:hAnsi="Calibri"/>
                <w:b/>
                <w:bCs/>
                <w:color w:val="FFFFFF"/>
                <w:sz w:val="18"/>
                <w:szCs w:val="18"/>
              </w:rPr>
              <w:t xml:space="preserve">Gallons switched</w:t>
            </w:r>
          </w:p>
        </w:tc>
        <w:tc>
          <w:tcPr>
            <w:tcW w:type="dxa" w:w="1950"/>
            <w:tcBorders>
              <w:top w:val="single" w:color="C3C2B7" w:sz="4"/>
              <w:left w:val="single" w:color="C3C2B7" w:sz="4"/>
              <w:bottom w:val="single" w:color="C3C2B7" w:sz="4"/>
              <w:right w:val="single" w:color="C3C2B7" w:sz="4"/>
            </w:tcBorders>
            <w:shd w:fill="1C5CAB" w:color="auto" w:val="clear"/>
            <w:tcMar>
              <w:top w:type="dxa" w:w="60"/>
              <w:left w:type="dxa" w:w="90"/>
              <w:bottom w:type="dxa" w:w="60"/>
              <w:right w:type="dxa" w:w="90"/>
            </w:tcMar>
          </w:tcPr>
          <w:p>
            <w:pPr>
              <w:jc w:val="right"/>
            </w:pPr>
            <w:r>
              <w:rPr>
                <w:rFonts w:ascii="Calibri" w:cs="Calibri" w:eastAsia="Calibri" w:hAnsi="Calibri"/>
                <w:b/>
                <w:bCs/>
                <w:color w:val="FFFFFF"/>
                <w:sz w:val="18"/>
                <w:szCs w:val="18"/>
              </w:rPr>
              <w:t xml:space="preserve">State tax forgone</w:t>
            </w:r>
          </w:p>
        </w:tc>
      </w:tr>
      <w:tr>
        <w:tc>
          <w:tcPr>
            <w:tcW w:type="dxa" w:w="34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b w:val="false"/>
                <w:bCs w:val="false"/>
                <w:sz w:val="18"/>
                <w:szCs w:val="18"/>
              </w:rPr>
              <w:t xml:space="preserve">Hauling the fall harvest</w:t>
            </w:r>
          </w:p>
        </w:tc>
        <w:tc>
          <w:tcPr>
            <w:tcW w:type="dxa" w:w="185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5.09 million</w:t>
            </w:r>
          </w:p>
        </w:tc>
        <w:tc>
          <w:tcPr>
            <w:tcW w:type="dxa" w:w="165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51%</w:t>
            </w:r>
          </w:p>
        </w:tc>
        <w:tc>
          <w:tcPr>
            <w:tcW w:type="dxa" w:w="195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2.59 million</w:t>
            </w:r>
          </w:p>
        </w:tc>
        <w:tc>
          <w:tcPr>
            <w:tcW w:type="dxa" w:w="195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$492K</w:t>
            </w:r>
          </w:p>
        </w:tc>
      </w:tr>
      <w:tr>
        <w:tc>
          <w:tcPr>
            <w:tcW w:type="dxa" w:w="34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b w:val="false"/>
                <w:bCs w:val="false"/>
                <w:sz w:val="18"/>
                <w:szCs w:val="18"/>
              </w:rPr>
              <w:t xml:space="preserve">Calves and fertilizer</w:t>
            </w:r>
          </w:p>
        </w:tc>
        <w:tc>
          <w:tcPr>
            <w:tcW w:type="dxa" w:w="185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0.76 million</w:t>
            </w:r>
          </w:p>
        </w:tc>
        <w:tc>
          <w:tcPr>
            <w:tcW w:type="dxa" w:w="165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51%</w:t>
            </w:r>
          </w:p>
        </w:tc>
        <w:tc>
          <w:tcPr>
            <w:tcW w:type="dxa" w:w="195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0.39 million</w:t>
            </w:r>
          </w:p>
        </w:tc>
        <w:tc>
          <w:tcPr>
            <w:tcW w:type="dxa" w:w="195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$73K</w:t>
            </w:r>
          </w:p>
        </w:tc>
      </w:tr>
      <w:tr>
        <w:tc>
          <w:tcPr>
            <w:tcW w:type="dxa" w:w="34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b w:val="false"/>
                <w:bCs w:val="false"/>
                <w:sz w:val="18"/>
                <w:szCs w:val="18"/>
              </w:rPr>
              <w:t xml:space="preserve">Selling stored wheat and barley</w:t>
            </w:r>
          </w:p>
        </w:tc>
        <w:tc>
          <w:tcPr>
            <w:tcW w:type="dxa" w:w="185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0.39 million</w:t>
            </w:r>
          </w:p>
        </w:tc>
        <w:tc>
          <w:tcPr>
            <w:tcW w:type="dxa" w:w="165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51%</w:t>
            </w:r>
          </w:p>
        </w:tc>
        <w:tc>
          <w:tcPr>
            <w:tcW w:type="dxa" w:w="195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0.20 million</w:t>
            </w:r>
          </w:p>
        </w:tc>
        <w:tc>
          <w:tcPr>
            <w:tcW w:type="dxa" w:w="195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$38K</w:t>
            </w:r>
          </w:p>
        </w:tc>
      </w:tr>
      <w:tr>
        <w:tc>
          <w:tcPr>
            <w:tcW w:type="dxa" w:w="3400"/>
            <w:tcBorders>
              <w:top w:val="single" w:color="C3C2B7" w:sz="4"/>
              <w:left w:val="single" w:color="C3C2B7" w:sz="4"/>
              <w:bottom w:val="single" w:color="C3C2B7" w:sz="4"/>
              <w:right w:val="single" w:color="C3C2B7" w:sz="4"/>
            </w:tcBorders>
            <w:shd w:fill="E8F0FB" w:color="auto" w:val="clear"/>
            <w:tcMar>
              <w:top w:type="dxa" w:w="60"/>
              <w:left w:type="dxa" w:w="90"/>
              <w:bottom w:type="dxa" w:w="60"/>
              <w:right w:type="dxa" w:w="90"/>
            </w:tcMar>
          </w:tcPr>
          <w:p>
            <w:r>
              <w:rPr>
                <w:rFonts w:ascii="Calibri" w:cs="Calibri" w:eastAsia="Calibri" w:hAnsi="Calibri"/>
                <w:b/>
                <w:bCs/>
                <w:sz w:val="18"/>
                <w:szCs w:val="18"/>
              </w:rPr>
              <w:t xml:space="preserve">Total</w:t>
            </w:r>
          </w:p>
        </w:tc>
        <w:tc>
          <w:tcPr>
            <w:tcW w:type="dxa" w:w="1850"/>
            <w:tcBorders>
              <w:top w:val="single" w:color="C3C2B7" w:sz="4"/>
              <w:left w:val="single" w:color="C3C2B7" w:sz="4"/>
              <w:bottom w:val="single" w:color="C3C2B7" w:sz="4"/>
              <w:right w:val="single" w:color="C3C2B7" w:sz="4"/>
            </w:tcBorders>
            <w:shd w:fill="E8F0FB" w:color="auto" w:val="clear"/>
            <w:tcMar>
              <w:top w:type="dxa" w:w="60"/>
              <w:left w:type="dxa" w:w="90"/>
              <w:bottom w:type="dxa" w:w="60"/>
              <w:right w:type="dxa" w:w="90"/>
            </w:tcMar>
          </w:tcPr>
          <w:p>
            <w:pPr>
              <w:jc w:val="right"/>
            </w:pPr>
            <w:r>
              <w:rPr>
                <w:rFonts w:ascii="Calibri" w:cs="Calibri" w:eastAsia="Calibri" w:hAnsi="Calibri"/>
                <w:b/>
                <w:bCs/>
                <w:sz w:val="18"/>
                <w:szCs w:val="18"/>
              </w:rPr>
              <w:t xml:space="preserve">6.24 million</w:t>
            </w:r>
          </w:p>
        </w:tc>
        <w:tc>
          <w:tcPr>
            <w:tcW w:type="dxa" w:w="1650"/>
            <w:tcBorders>
              <w:top w:val="single" w:color="C3C2B7" w:sz="4"/>
              <w:left w:val="single" w:color="C3C2B7" w:sz="4"/>
              <w:bottom w:val="single" w:color="C3C2B7" w:sz="4"/>
              <w:right w:val="single" w:color="C3C2B7" w:sz="4"/>
            </w:tcBorders>
            <w:shd w:fill="E8F0FB" w:color="auto" w:val="clear"/>
            <w:tcMar>
              <w:top w:type="dxa" w:w="60"/>
              <w:left w:type="dxa" w:w="90"/>
              <w:bottom w:type="dxa" w:w="60"/>
              <w:right w:type="dxa" w:w="90"/>
            </w:tcMar>
          </w:tcPr>
          <w:p>
            <w:pPr>
              <w:jc w:val="right"/>
            </w:pPr>
            <w:r>
              <w:rPr>
                <w:rFonts w:ascii="Calibri" w:cs="Calibri" w:eastAsia="Calibri" w:hAnsi="Calibri"/>
                <w:b/>
                <w:bCs/>
                <w:sz w:val="18"/>
                <w:szCs w:val="18"/>
              </w:rPr>
              <w:t xml:space="preserve">51%</w:t>
            </w:r>
          </w:p>
        </w:tc>
        <w:tc>
          <w:tcPr>
            <w:tcW w:type="dxa" w:w="1950"/>
            <w:tcBorders>
              <w:top w:val="single" w:color="C3C2B7" w:sz="4"/>
              <w:left w:val="single" w:color="C3C2B7" w:sz="4"/>
              <w:bottom w:val="single" w:color="C3C2B7" w:sz="4"/>
              <w:right w:val="single" w:color="C3C2B7" w:sz="4"/>
            </w:tcBorders>
            <w:shd w:fill="E8F0FB" w:color="auto" w:val="clear"/>
            <w:tcMar>
              <w:top w:type="dxa" w:w="60"/>
              <w:left w:type="dxa" w:w="90"/>
              <w:bottom w:type="dxa" w:w="60"/>
              <w:right w:type="dxa" w:w="90"/>
            </w:tcMar>
          </w:tcPr>
          <w:p>
            <w:pPr>
              <w:jc w:val="right"/>
            </w:pPr>
            <w:r>
              <w:rPr>
                <w:rFonts w:ascii="Calibri" w:cs="Calibri" w:eastAsia="Calibri" w:hAnsi="Calibri"/>
                <w:b/>
                <w:bCs/>
                <w:sz w:val="18"/>
                <w:szCs w:val="18"/>
              </w:rPr>
              <w:t xml:space="preserve">3.18 million</w:t>
            </w:r>
          </w:p>
        </w:tc>
        <w:tc>
          <w:tcPr>
            <w:tcW w:type="dxa" w:w="1950"/>
            <w:tcBorders>
              <w:top w:val="single" w:color="C3C2B7" w:sz="4"/>
              <w:left w:val="single" w:color="C3C2B7" w:sz="4"/>
              <w:bottom w:val="single" w:color="C3C2B7" w:sz="4"/>
              <w:right w:val="single" w:color="C3C2B7" w:sz="4"/>
            </w:tcBorders>
            <w:shd w:fill="E8F0FB" w:color="auto" w:val="clear"/>
            <w:tcMar>
              <w:top w:type="dxa" w:w="60"/>
              <w:left w:type="dxa" w:w="90"/>
              <w:bottom w:type="dxa" w:w="60"/>
              <w:right w:type="dxa" w:w="90"/>
            </w:tcMar>
          </w:tcPr>
          <w:p>
            <w:pPr>
              <w:jc w:val="right"/>
            </w:pPr>
            <w:r>
              <w:rPr>
                <w:rFonts w:ascii="Calibri" w:cs="Calibri" w:eastAsia="Calibri" w:hAnsi="Calibri"/>
                <w:b/>
                <w:bCs/>
                <w:sz w:val="18"/>
                <w:szCs w:val="18"/>
              </w:rPr>
              <w:t xml:space="preserve">$0.60M</w:t>
            </w:r>
          </w:p>
        </w:tc>
      </w:tr>
    </w:tbl>
    <w:p>
      <w:pPr>
        <w:pStyle w:val="Heading2"/>
        <w:spacing w:after="80" w:before="200"/>
      </w:pPr>
      <w:r>
        <w:rPr>
          <w:rFonts w:ascii="Calibri" w:cs="Calibri" w:eastAsia="Calibri" w:hAnsi="Calibri"/>
        </w:rPr>
        <w:t xml:space="preserve">Step 9. State revenue forgone = $0.60 million</w:t>
      </w:r>
    </w:p>
    <w:p>
      <w:pPr>
        <w:pStyle w:val="ListParagraph"/>
        <w:numPr>
          <w:ilvl w:val="0"/>
          <w:numId w:val="2"/>
        </w:numPr>
        <w:spacing w:after="60"/>
      </w:pPr>
      <w:r>
        <w:rPr>
          <w:rFonts w:ascii="Calibri" w:cs="Calibri" w:eastAsia="Calibri" w:hAnsi="Calibri"/>
          <w:sz w:val="20"/>
          <w:szCs w:val="20"/>
        </w:rPr>
        <w:t xml:space="preserve">3.18 million gal × $0.19 = $0.604 million.</w:t>
      </w:r>
    </w:p>
    <w:p>
      <w:pPr>
        <w:pStyle w:val="ListParagraph"/>
        <w:numPr>
          <w:ilvl w:val="0"/>
          <w:numId w:val="2"/>
        </w:numPr>
        <w:spacing w:after="60"/>
      </w:pPr>
      <w:r>
        <w:rPr>
          <w:rFonts w:ascii="Calibri" w:cs="Calibri" w:eastAsia="Calibri" w:hAnsi="Calibri"/>
          <w:sz w:val="20"/>
          <w:szCs w:val="20"/>
        </w:rPr>
        <w:t xml:space="preserve">Split (NDCC 54-27-19): state highway fund $362K; counties $154K; cities $57K; townships $21K; public transit $10K.</w:t>
      </w:r>
    </w:p>
    <w:p>
      <w:pPr>
        <w:pStyle w:val="Heading2"/>
        <w:spacing w:after="80" w:before="200"/>
      </w:pPr>
      <w:r>
        <w:rPr>
          <w:rFonts w:ascii="Calibri" w:cs="Calibri" w:eastAsia="Calibri" w:hAnsi="Calibri"/>
        </w:rPr>
        <w:t xml:space="preserve">Step 10. Context</w:t>
      </w:r>
    </w:p>
    <w:p>
      <w:pPr>
        <w:pStyle w:val="ListParagraph"/>
        <w:numPr>
          <w:ilvl w:val="0"/>
          <w:numId w:val="2"/>
        </w:numPr>
        <w:spacing w:after="60"/>
      </w:pPr>
      <w:r>
        <w:rPr>
          <w:rFonts w:ascii="Calibri" w:cs="Calibri" w:eastAsia="Calibri" w:hAnsi="Calibri"/>
          <w:sz w:val="20"/>
          <w:szCs w:val="20"/>
        </w:rPr>
        <w:t xml:space="preserve">Fall farm diesel = harvest field work 34.3 million + fall tillage 1.6 million + fall anhydrous 1.2 million + on-road 6.2 million = 43.4 million gal (33% of annual).</w:t>
      </w:r>
    </w:p>
    <w:p>
      <w:pPr>
        <w:pStyle w:val="ListParagraph"/>
        <w:numPr>
          <w:ilvl w:val="0"/>
          <w:numId w:val="2"/>
        </w:numPr>
        <w:spacing w:after="60"/>
      </w:pPr>
      <w:r>
        <w:rPr>
          <w:rFonts w:ascii="Calibri" w:cs="Calibri" w:eastAsia="Calibri" w:hAnsi="Calibri"/>
          <w:sz w:val="20"/>
          <w:szCs w:val="20"/>
        </w:rPr>
        <w:t xml:space="preserve">Harvest field work by crop: corn 13.0 million; sugarbeets 0.5 million; soybeans 18.3 million; sunflower 1.9 million; dry beans 0.6 million.</w:t>
      </w:r>
    </w:p>
    <w:p>
      <w:pPr>
        <w:pStyle w:val="ListParagraph"/>
        <w:numPr>
          <w:ilvl w:val="0"/>
          <w:numId w:val="2"/>
        </w:numPr>
        <w:spacing w:after="60"/>
      </w:pPr>
      <w:r>
        <w:rPr>
          <w:rFonts w:ascii="Calibri" w:cs="Calibri" w:eastAsia="Calibri" w:hAnsi="Calibri"/>
          <w:sz w:val="20"/>
          <w:szCs w:val="20"/>
        </w:rPr>
        <w:t xml:space="preserve">Extra cost from price rise = 43.4 million × $2.79 = $121 million; relief ÷ extra cost = 0.50%.</w:t>
      </w:r>
    </w:p>
    <w:p>
      <w:pPr>
        <w:pStyle w:val="ListParagraph"/>
        <w:numPr>
          <w:ilvl w:val="0"/>
          <w:numId w:val="2"/>
        </w:numPr>
        <w:spacing w:after="60"/>
      </w:pPr>
      <w:r>
        <w:rPr>
          <w:rFonts w:ascii="Calibri" w:cs="Calibri" w:eastAsia="Calibri" w:hAnsi="Calibri"/>
          <w:sz w:val="20"/>
          <w:szCs w:val="20"/>
        </w:rPr>
        <w:t xml:space="preserve">Per farm = $603,546 ÷ 25,068 = $24. Per fall-crop acre = 5.3¢. Per bushel of corn and soybeans harvested in window = 0.093¢.</w:t>
      </w:r>
    </w:p>
    <w:p>
      <w:pPr>
        <w:pStyle w:val="Heading2"/>
        <w:spacing w:after="80" w:before="200"/>
      </w:pPr>
      <w:r>
        <w:rPr>
          <w:rFonts w:ascii="Calibri" w:cs="Calibri" w:eastAsia="Calibri" w:hAnsi="Calibri"/>
        </w:rPr>
        <w:t xml:space="preserve">Step 11. Example farm (1,000 ac corn + 1,000 ac soybeans)</w:t>
      </w:r>
    </w:p>
    <w:p>
      <w:pPr>
        <w:pStyle w:val="ListParagraph"/>
        <w:numPr>
          <w:ilvl w:val="0"/>
          <w:numId w:val="2"/>
        </w:numPr>
        <w:spacing w:after="60"/>
      </w:pPr>
      <w:r>
        <w:rPr>
          <w:rFonts w:ascii="Calibri" w:cs="Calibri" w:eastAsia="Calibri" w:hAnsi="Calibri"/>
          <w:sz w:val="20"/>
          <w:szCs w:val="20"/>
        </w:rPr>
        <w:t xml:space="preserve">Bushels = 1,000 × 130 + 1,000 × 30 = 160,000. Same shares and fuel per ton as Steps 2–4.</w:t>
      </w:r>
    </w:p>
    <w:p>
      <w:pPr>
        <w:pStyle w:val="ListParagraph"/>
        <w:numPr>
          <w:ilvl w:val="0"/>
          <w:numId w:val="2"/>
        </w:numPr>
        <w:spacing w:after="60"/>
      </w:pPr>
      <w:r>
        <w:rPr>
          <w:rFonts w:ascii="Calibri" w:cs="Calibri" w:eastAsia="Calibri" w:hAnsi="Calibri"/>
          <w:sz w:val="20"/>
          <w:szCs w:val="20"/>
        </w:rPr>
        <w:t xml:space="preserve">On-road truck fuel = 803 gal; savings = 803 × $0.19 = $153.</w:t>
      </w:r>
    </w:p>
    <w:p>
      <w:pPr>
        <w:pStyle w:val="ListParagraph"/>
        <w:numPr>
          <w:ilvl w:val="0"/>
          <w:numId w:val="2"/>
        </w:numPr>
        <w:spacing w:after="60"/>
      </w:pPr>
      <w:r>
        <w:rPr>
          <w:rFonts w:ascii="Calibri" w:cs="Calibri" w:eastAsia="Calibri" w:hAnsi="Calibri"/>
          <w:sz w:val="20"/>
          <w:szCs w:val="20"/>
        </w:rPr>
        <w:t xml:space="preserve">Fall field fuel = 1,000 × 3.44 × 0.85 + 1,000 × 3.48 × 0.775 = 5,621 gal.</w:t>
      </w:r>
    </w:p>
    <w:p>
      <w:pPr>
        <w:pStyle w:val="ListParagraph"/>
        <w:numPr>
          <w:ilvl w:val="0"/>
          <w:numId w:val="2"/>
        </w:numPr>
        <w:spacing w:after="60"/>
      </w:pPr>
      <w:r>
        <w:rPr>
          <w:rFonts w:ascii="Calibri" w:cs="Calibri" w:eastAsia="Calibri" w:hAnsi="Calibri"/>
          <w:sz w:val="20"/>
          <w:szCs w:val="20"/>
        </w:rPr>
        <w:t xml:space="preserve">Higher fall diesel bill = (803 + 5,621) × $2.79 = $17,893.</w:t>
      </w:r>
    </w:p>
    <w:p>
      <w:pPr>
        <w:pStyle w:val="Heading2"/>
        <w:spacing w:after="80" w:before="200"/>
      </w:pPr>
      <w:r>
        <w:rPr>
          <w:rFonts w:ascii="Calibri" w:cs="Calibri" w:eastAsia="Calibri" w:hAnsi="Calibri"/>
        </w:rPr>
        <w:t xml:space="preserve">Step 12. Range and cross-check</w:t>
      </w:r>
    </w:p>
    <w:p>
      <w:pPr>
        <w:pStyle w:val="ListParagraph"/>
        <w:numPr>
          <w:ilvl w:val="0"/>
          <w:numId w:val="2"/>
        </w:numPr>
        <w:spacing w:after="60"/>
      </w:pPr>
      <w:r>
        <w:rPr>
          <w:rFonts w:ascii="Calibri" w:cs="Calibri" w:eastAsia="Calibri" w:hAnsi="Calibri"/>
          <w:sz w:val="20"/>
          <w:szCs w:val="20"/>
        </w:rPr>
        <w:t xml:space="preserve">Each input is moved to its low and high value one at a time. The log changes in switched gallons are combined in quadrature (inputs treated as independent): 2.3 million–4.5 million gal, $0.44–0.85 million. All inputs at their extremes together: $0.20–1.25 million.</w:t>
      </w:r>
    </w:p>
    <w:p>
      <w:pPr>
        <w:pStyle w:val="ListParagraph"/>
        <w:numPr>
          <w:ilvl w:val="0"/>
          <w:numId w:val="2"/>
        </w:numPr>
        <w:spacing w:after="60"/>
      </w:pPr>
      <w:r>
        <w:rPr>
          <w:rFonts w:ascii="Calibri" w:cs="Calibri" w:eastAsia="Calibri" w:hAnsi="Calibri"/>
          <w:sz w:val="20"/>
          <w:szCs w:val="20"/>
        </w:rPr>
        <w:t xml:space="preserve">Fleet cross-check: 26,227 non-pickup farm trucks × UGPTI annual miles by type ÷ ORNL mpg = 18.4 million gal/yr × 33% of the year's crop tonnage moved in window = 6.1 million gal, vs. 5.1 million gal bottom-up for the same hauls.</w:t>
      </w:r>
    </w:p>
    <w:p>
      <w:pPr>
        <w:pStyle w:val="Heading1"/>
        <w:spacing w:after="120" w:before="280"/>
      </w:pPr>
      <w:r>
        <w:rPr>
          <w:rFonts w:ascii="Calibri" w:cs="Calibri" w:eastAsia="Calibri" w:hAnsi="Calibri"/>
        </w:rPr>
        <w:t xml:space="preserve">3. Sensitivity</w:t>
      </w:r>
    </w:p>
    <w:p>
      <w:pPr>
        <w:spacing w:after="100" w:before="0"/>
      </w:pPr>
      <w:r>
        <w:rPr>
          <w:rFonts w:ascii="Calibri" w:cs="Calibri" w:eastAsia="Calibri" w:hAnsi="Calibri"/>
          <w:sz w:val="20"/>
          <w:szCs w:val="20"/>
        </w:rPr>
        <w:t xml:space="preserve">Gallons switched when one input moves to its low or high value with all others at central (top 10 inputs). Leaving out pickups biases the estimate down; assuming every farmer accepts the federal risk biases it up. Neither appears in this table.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800"/>
        <w:gridCol w:w="2000"/>
        <w:gridCol w:w="2000"/>
        <w:gridCol w:w="2000"/>
      </w:tblGrid>
      <w:tr>
        <w:trPr>
          <w:tblHeader/>
        </w:trPr>
        <w:tc>
          <w:tcPr>
            <w:tcW w:type="dxa" w:w="4800"/>
            <w:tcBorders>
              <w:top w:val="single" w:color="C3C2B7" w:sz="4"/>
              <w:left w:val="single" w:color="C3C2B7" w:sz="4"/>
              <w:bottom w:val="single" w:color="C3C2B7" w:sz="4"/>
              <w:right w:val="single" w:color="C3C2B7" w:sz="4"/>
            </w:tcBorders>
            <w:shd w:fill="1C5CAB" w:color="auto" w:val="clear"/>
            <w:tcMar>
              <w:top w:type="dxa" w:w="60"/>
              <w:left w:type="dxa" w:w="90"/>
              <w:bottom w:type="dxa" w:w="60"/>
              <w:right w:type="dxa" w:w="90"/>
            </w:tcMar>
          </w:tcPr>
          <w:p>
            <w:r>
              <w:rPr>
                <w:rFonts w:ascii="Calibri" w:cs="Calibri" w:eastAsia="Calibri" w:hAnsi="Calibri"/>
                <w:b/>
                <w:bCs/>
                <w:color w:val="FFFFFF"/>
                <w:sz w:val="18"/>
                <w:szCs w:val="18"/>
              </w:rPr>
              <w:t xml:space="preserve">Input moved (others at central)</w:t>
            </w:r>
          </w:p>
        </w:tc>
        <w:tc>
          <w:tcPr>
            <w:tcW w:type="dxa" w:w="2000"/>
            <w:tcBorders>
              <w:top w:val="single" w:color="C3C2B7" w:sz="4"/>
              <w:left w:val="single" w:color="C3C2B7" w:sz="4"/>
              <w:bottom w:val="single" w:color="C3C2B7" w:sz="4"/>
              <w:right w:val="single" w:color="C3C2B7" w:sz="4"/>
            </w:tcBorders>
            <w:shd w:fill="1C5CAB" w:color="auto" w:val="clear"/>
            <w:tcMar>
              <w:top w:type="dxa" w:w="60"/>
              <w:left w:type="dxa" w:w="90"/>
              <w:bottom w:type="dxa" w:w="60"/>
              <w:right w:type="dxa" w:w="90"/>
            </w:tcMar>
          </w:tcPr>
          <w:p>
            <w:pPr>
              <w:jc w:val="right"/>
            </w:pPr>
            <w:r>
              <w:rPr>
                <w:rFonts w:ascii="Calibri" w:cs="Calibri" w:eastAsia="Calibri" w:hAnsi="Calibri"/>
                <w:b/>
                <w:bCs/>
                <w:color w:val="FFFFFF"/>
                <w:sz w:val="18"/>
                <w:szCs w:val="18"/>
              </w:rPr>
              <w:t xml:space="preserve">Gallons at low value</w:t>
            </w:r>
          </w:p>
        </w:tc>
        <w:tc>
          <w:tcPr>
            <w:tcW w:type="dxa" w:w="2000"/>
            <w:tcBorders>
              <w:top w:val="single" w:color="C3C2B7" w:sz="4"/>
              <w:left w:val="single" w:color="C3C2B7" w:sz="4"/>
              <w:bottom w:val="single" w:color="C3C2B7" w:sz="4"/>
              <w:right w:val="single" w:color="C3C2B7" w:sz="4"/>
            </w:tcBorders>
            <w:shd w:fill="1C5CAB" w:color="auto" w:val="clear"/>
            <w:tcMar>
              <w:top w:type="dxa" w:w="60"/>
              <w:left w:type="dxa" w:w="90"/>
              <w:bottom w:type="dxa" w:w="60"/>
              <w:right w:type="dxa" w:w="90"/>
            </w:tcMar>
          </w:tcPr>
          <w:p>
            <w:pPr>
              <w:jc w:val="right"/>
            </w:pPr>
            <w:r>
              <w:rPr>
                <w:rFonts w:ascii="Calibri" w:cs="Calibri" w:eastAsia="Calibri" w:hAnsi="Calibri"/>
                <w:b/>
                <w:bCs/>
                <w:color w:val="FFFFFF"/>
                <w:sz w:val="18"/>
                <w:szCs w:val="18"/>
              </w:rPr>
              <w:t xml:space="preserve">Gallons at high value</w:t>
            </w:r>
          </w:p>
        </w:tc>
        <w:tc>
          <w:tcPr>
            <w:tcW w:type="dxa" w:w="2000"/>
            <w:tcBorders>
              <w:top w:val="single" w:color="C3C2B7" w:sz="4"/>
              <w:left w:val="single" w:color="C3C2B7" w:sz="4"/>
              <w:bottom w:val="single" w:color="C3C2B7" w:sz="4"/>
              <w:right w:val="single" w:color="C3C2B7" w:sz="4"/>
            </w:tcBorders>
            <w:shd w:fill="1C5CAB" w:color="auto" w:val="clear"/>
            <w:tcMar>
              <w:top w:type="dxa" w:w="60"/>
              <w:left w:type="dxa" w:w="90"/>
              <w:bottom w:type="dxa" w:w="60"/>
              <w:right w:type="dxa" w:w="90"/>
            </w:tcMar>
          </w:tcPr>
          <w:p>
            <w:pPr>
              <w:jc w:val="right"/>
            </w:pPr>
            <w:r>
              <w:rPr>
                <w:rFonts w:ascii="Calibri" w:cs="Calibri" w:eastAsia="Calibri" w:hAnsi="Calibri"/>
                <w:b/>
                <w:bCs/>
                <w:color w:val="FFFFFF"/>
                <w:sz w:val="18"/>
                <w:szCs w:val="18"/>
              </w:rPr>
              <w:t xml:space="preserve">Swing, % of central</w:t>
            </w:r>
          </w:p>
        </w:tc>
      </w:tr>
      <w:tr>
        <w:tc>
          <w:tcPr>
            <w:tcW w:type="dxa" w:w="48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Haul distance to market</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sz w:val="18"/>
                <w:szCs w:val="18"/>
              </w:rPr>
              <w:t xml:space="preserve">2.70M</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sz w:val="18"/>
                <w:szCs w:val="18"/>
              </w:rPr>
              <w:t xml:space="preserve">4.26M</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sz w:val="18"/>
                <w:szCs w:val="18"/>
              </w:rPr>
              <w:t xml:space="preserve">49%</w:t>
            </w:r>
          </w:p>
        </w:tc>
      </w:tr>
      <w:tr>
        <w:tc>
          <w:tcPr>
            <w:tcW w:type="dxa" w:w="48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Calf and anhydrous hauling (fall shares)</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sz w:val="18"/>
                <w:szCs w:val="18"/>
              </w:rPr>
              <w:t xml:space="preserve">2.79M</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sz w:val="18"/>
                <w:szCs w:val="18"/>
              </w:rPr>
              <w:t xml:space="preserve">3.56M</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sz w:val="18"/>
                <w:szCs w:val="18"/>
              </w:rPr>
              <w:t xml:space="preserve">24%</w:t>
            </w:r>
          </w:p>
        </w:tc>
      </w:tr>
      <w:tr>
        <w:tc>
          <w:tcPr>
            <w:tcW w:type="dxa" w:w="48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Truck payload</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sz w:val="18"/>
                <w:szCs w:val="18"/>
              </w:rPr>
              <w:t xml:space="preserve">3.39M</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sz w:val="18"/>
                <w:szCs w:val="18"/>
              </w:rPr>
              <w:t xml:space="preserve">2.73M</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sz w:val="18"/>
                <w:szCs w:val="18"/>
              </w:rPr>
              <w:t xml:space="preserve">21%</w:t>
            </w:r>
          </w:p>
        </w:tc>
      </w:tr>
      <w:tr>
        <w:tc>
          <w:tcPr>
            <w:tcW w:type="dxa" w:w="48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Loaded fuel economy</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sz w:val="18"/>
                <w:szCs w:val="18"/>
              </w:rPr>
              <w:t xml:space="preserve">3.42M</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sz w:val="18"/>
                <w:szCs w:val="18"/>
              </w:rPr>
              <w:t xml:space="preserve">2.90M</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sz w:val="18"/>
                <w:szCs w:val="18"/>
              </w:rPr>
              <w:t xml:space="preserve">16%</w:t>
            </w:r>
          </w:p>
        </w:tc>
      </w:tr>
      <w:tr>
        <w:tc>
          <w:tcPr>
            <w:tcW w:type="dxa" w:w="48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Trucks fueled from farm tanks</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sz w:val="18"/>
                <w:szCs w:val="18"/>
              </w:rPr>
              <w:t xml:space="preserve">2.93M</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sz w:val="18"/>
                <w:szCs w:val="18"/>
              </w:rPr>
              <w:t xml:space="preserve">3.30M</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sz w:val="18"/>
                <w:szCs w:val="18"/>
              </w:rPr>
              <w:t xml:space="preserve">12%</w:t>
            </w:r>
          </w:p>
        </w:tc>
      </w:tr>
      <w:tr>
        <w:tc>
          <w:tcPr>
            <w:tcW w:type="dxa" w:w="48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Corn harvest finished by Nov. 30</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sz w:val="18"/>
                <w:szCs w:val="18"/>
              </w:rPr>
              <w:t xml:space="preserve">2.90M</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sz w:val="18"/>
                <w:szCs w:val="18"/>
              </w:rPr>
              <w:t xml:space="preserve">3.24M</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sz w:val="18"/>
                <w:szCs w:val="18"/>
              </w:rPr>
              <w:t xml:space="preserve">11%</w:t>
            </w:r>
          </w:p>
        </w:tc>
      </w:tr>
      <w:tr>
        <w:tc>
          <w:tcPr>
            <w:tcW w:type="dxa" w:w="48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Empty fuel economy</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sz w:val="18"/>
                <w:szCs w:val="18"/>
              </w:rPr>
              <w:t xml:space="preserve">3.26M</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sz w:val="18"/>
                <w:szCs w:val="18"/>
              </w:rPr>
              <w:t xml:space="preserve">2.94M</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sz w:val="18"/>
                <w:szCs w:val="18"/>
              </w:rPr>
              <w:t xml:space="preserve">10%</w:t>
            </w:r>
          </w:p>
        </w:tc>
      </w:tr>
      <w:tr>
        <w:tc>
          <w:tcPr>
            <w:tcW w:type="dxa" w:w="48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Share of corn off farm by Dec. 1</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sz w:val="18"/>
                <w:szCs w:val="18"/>
              </w:rPr>
              <w:t xml:space="preserve">3.06M</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sz w:val="18"/>
                <w:szCs w:val="18"/>
              </w:rPr>
              <w:t xml:space="preserve">3.29M</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sz w:val="18"/>
                <w:szCs w:val="18"/>
              </w:rPr>
              <w:t xml:space="preserve">7%</w:t>
            </w:r>
          </w:p>
        </w:tc>
      </w:tr>
      <w:tr>
        <w:tc>
          <w:tcPr>
            <w:tcW w:type="dxa" w:w="48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Share of soybeans off farm by Dec. 1</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sz w:val="18"/>
                <w:szCs w:val="18"/>
              </w:rPr>
              <w:t xml:space="preserve">3.09M</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sz w:val="18"/>
                <w:szCs w:val="18"/>
              </w:rPr>
              <w:t xml:space="preserve">3.27M</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sz w:val="18"/>
                <w:szCs w:val="18"/>
              </w:rPr>
              <w:t xml:space="preserve">6%</w:t>
            </w:r>
          </w:p>
        </w:tc>
      </w:tr>
      <w:tr>
        <w:tc>
          <w:tcPr>
            <w:tcW w:type="dxa" w:w="4800"/>
            <w:tcBorders>
              <w:top w:val="single" w:color="C3C2B7" w:sz="4"/>
              <w:left w:val="single" w:color="C3C2B7" w:sz="4"/>
              <w:bottom w:val="single" w:color="C3C2B7" w:sz="4"/>
              <w:right w:val="single" w:color="C3C2B7" w:sz="4"/>
            </w:tcBorders>
            <w:tcMar>
              <w:top w:type="dxa" w:w="60"/>
              <w:left w:type="dxa" w:w="90"/>
              <w:bottom w:type="dxa" w:w="60"/>
              <w:right w:type="dxa" w:w="90"/>
            </w:tcMar>
          </w:tcPr>
          <w:p>
            <w:r>
              <w:rPr>
                <w:rFonts w:ascii="Calibri" w:cs="Calibri" w:eastAsia="Calibri" w:hAnsi="Calibri"/>
                <w:sz w:val="18"/>
                <w:szCs w:val="18"/>
              </w:rPr>
              <w:t xml:space="preserve">Field-to-bin distance</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sz w:val="18"/>
                <w:szCs w:val="18"/>
              </w:rPr>
              <w:t xml:space="preserve">3.11M</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sz w:val="18"/>
                <w:szCs w:val="18"/>
              </w:rPr>
              <w:t xml:space="preserve">3.27M</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jc w:val="right"/>
            </w:pPr>
            <w:r>
              <w:rPr>
                <w:rFonts w:ascii="Calibri" w:cs="Calibri" w:eastAsia="Calibri" w:hAnsi="Calibri"/>
                <w:sz w:val="18"/>
                <w:szCs w:val="18"/>
              </w:rPr>
              <w:t xml:space="preserve">5%</w:t>
            </w:r>
          </w:p>
        </w:tc>
      </w:tr>
    </w:tbl>
    <w:p>
      <w:pPr>
        <w:pStyle w:val="Heading1"/>
        <w:spacing w:after="120" w:before="280"/>
      </w:pPr>
      <w:r>
        <w:rPr>
          <w:rFonts w:ascii="Calibri" w:cs="Calibri" w:eastAsia="Calibri" w:hAnsi="Calibri"/>
        </w:rPr>
        <w:t xml:space="preserve">4. Data and code</w:t>
      </w:r>
    </w:p>
    <w:p>
      <w:pPr>
        <w:pStyle w:val="ListParagraph"/>
        <w:numPr>
          <w:ilvl w:val="0"/>
          <w:numId w:val="2"/>
        </w:numPr>
        <w:spacing w:after="60"/>
      </w:pPr>
      <w:r>
        <w:rPr>
          <w:rFonts w:ascii="Calibri" w:cs="Calibri" w:eastAsia="Calibri" w:hAnsi="Calibri"/>
          <w:sz w:val="20"/>
          <w:szCs w:val="20"/>
        </w:rPr>
        <w:t xml:space="preserve">data/raw/: every downloaded source file; data/SOURCES.md lists URLs, access dates, and manual steps.</w:t>
      </w:r>
    </w:p>
    <w:p>
      <w:pPr>
        <w:pStyle w:val="ListParagraph"/>
        <w:numPr>
          <w:ilvl w:val="0"/>
          <w:numId w:val="2"/>
        </w:numPr>
        <w:spacing w:after="60"/>
      </w:pPr>
      <w:r>
        <w:rPr>
          <w:rFonts w:ascii="Calibri" w:cs="Calibri" w:eastAsia="Calibri" w:hAnsi="Calibri"/>
          <w:sz w:val="20"/>
          <w:szCs w:val="20"/>
        </w:rPr>
        <w:t xml:space="preserve">params.yaml: every input value with the report, table, and local file it came from.</w:t>
      </w:r>
    </w:p>
    <w:p>
      <w:pPr>
        <w:pStyle w:val="ListParagraph"/>
        <w:numPr>
          <w:ilvl w:val="0"/>
          <w:numId w:val="2"/>
        </w:numPr>
        <w:spacing w:after="60"/>
      </w:pPr>
      <w:r>
        <w:rPr>
          <w:rFonts w:ascii="Calibri" w:cs="Calibri" w:eastAsia="Calibri" w:hAnsi="Calibri"/>
          <w:sz w:val="20"/>
          <w:szCs w:val="20"/>
        </w:rPr>
        <w:t xml:space="preserve">analysis/derive.py: computes each calculated input; outputs/derived_params.csv records the calculation.</w:t>
      </w:r>
    </w:p>
    <w:p>
      <w:pPr>
        <w:pStyle w:val="ListParagraph"/>
        <w:numPr>
          <w:ilvl w:val="0"/>
          <w:numId w:val="2"/>
        </w:numPr>
        <w:spacing w:after="60"/>
      </w:pPr>
      <w:r>
        <w:rPr>
          <w:rFonts w:ascii="Calibri" w:cs="Calibri" w:eastAsia="Calibri" w:hAnsi="Calibri"/>
          <w:sz w:val="20"/>
          <w:szCs w:val="20"/>
        </w:rPr>
        <w:t xml:space="preserve">analysis/run_all.py: runs the model and writes outputs/results.json; this document is generated from it by analysis/methods_doc_data.py and analysis/make_methods_docx.js.</w:t>
      </w:r>
    </w:p>
    <w:sectPr>
      <w:footerReference w:type="default" r:id="rId6"/>
      <w:pgSz w:w="12240" w:h="15840" w:orient="portrait"/>
      <w:pgMar w:top="1080" w:right="720" w:bottom="108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98781"/>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C5CAB"/>
      <w:sz w:val="28"/>
      <w:szCs w:val="28"/>
    </w:rPr>
  </w:style>
  <w:style w:type="paragraph" w:styleId="Heading2">
    <w:name w:val="Heading 2"/>
    <w:basedOn w:val="Normal"/>
    <w:next w:val="Normal"/>
    <w:qFormat/>
    <w:pPr>
      <w:spacing w:after="80" w:before="200"/>
      <w:outlineLvl w:val="1"/>
    </w:pPr>
    <w:rPr>
      <w:rFonts w:ascii="Calibri" w:cs="Calibri" w:eastAsia="Calibri" w:hAnsi="Calibri"/>
      <w:b/>
      <w:bCs/>
      <w:color w:val="0B0B0B"/>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fxahluykuzjctrhw03dec" Type="http://schemas.openxmlformats.org/officeDocument/2006/relationships/hyperlink" Target="https://ndlegis.gov/cencode/t57c43-2.pdf" TargetMode="External"/><Relationship Id="rIdjozybwcspn2hnccifueae" Type="http://schemas.openxmlformats.org/officeDocument/2006/relationships/hyperlink" Target="https://www.governor.nd.gov/news/armstrong-declares-diesel-emergency-takes-action-provide-relief-fuel-costs-agricultural" TargetMode="External"/><Relationship Id="rId-wwvwkncjxsugapdcflq9" Type="http://schemas.openxmlformats.org/officeDocument/2006/relationships/hyperlink" Target="https://www.governor.nd.gov/sites/default/files/documents/Executive%20Order%202026-08%20Diesel%20emergency.pdf" TargetMode="External"/><Relationship Id="rIdq7w9qntmstgtlpag7nqze" Type="http://schemas.openxmlformats.org/officeDocument/2006/relationships/hyperlink" Target="https://www.eia.gov/dnav/pet/xls/PET_PRI_GND_DCUS_R20_W.xls" TargetMode="External"/><Relationship Id="rId6s5prvdnub2suficjbb8z" Type="http://schemas.openxmlformats.org/officeDocument/2006/relationships/hyperlink" Target="https://esmis.nal.usda.gov/sites/default/release-files/796056/crop0926.pdf" TargetMode="External"/><Relationship Id="rIdbrk89axbhecsn_jaof3ly" Type="http://schemas.openxmlformats.org/officeDocument/2006/relationships/hyperlink" Target="https://esmis.nal.usda.gov/publication/crop-production-annual-summary" TargetMode="External"/><Relationship Id="rIdosuigufddx_dzhdhsm0hu" Type="http://schemas.openxmlformats.org/officeDocument/2006/relationships/hyperlink" Target="https://esmis.nal.usda.gov/sites/default/release-files/796082/prog3926.pdf" TargetMode="External"/><Relationship Id="rIdvzyikcqrpl1ubjn_xmtfc" Type="http://schemas.openxmlformats.org/officeDocument/2006/relationships/hyperlink" Target="https://esmis.nal.usda.gov/publication/crop-progress" TargetMode="External"/><Relationship Id="rIdvibklbrrf6hhpefhncc5d" Type="http://schemas.openxmlformats.org/officeDocument/2006/relationships/hyperlink" Target="https://www.nass.usda.gov/Publications/Todays_Reports/reports/fcdate10.pdf" TargetMode="External"/><Relationship Id="rIds0qbhbmsj4dby9h7x-n5t" Type="http://schemas.openxmlformats.org/officeDocument/2006/relationships/hyperlink" Target="https://esmis.nal.usda.gov/publication/grain-stocks" TargetMode="External"/><Relationship Id="rIdnjj6az_oucigcwu1u6ji8" Type="http://schemas.openxmlformats.org/officeDocument/2006/relationships/hyperlink" Target="https://www.ugpti.org/resources/reports/downloads/dp-284.pdf" TargetMode="External"/><Relationship Id="rIdzmmdjiphno3x_7avvaj09" Type="http://schemas.openxmlformats.org/officeDocument/2006/relationships/hyperlink" Target="https://esmis.nal.usda.gov/publication/grain-stocks" TargetMode="External"/><Relationship Id="rIds3ycclpu8gxbhrh50vsal" Type="http://schemas.openxmlformats.org/officeDocument/2006/relationships/hyperlink" Target="https://www.ugpti.org/resources/reports/downloads/dp-284.pdf" TargetMode="External"/><Relationship Id="rIdb_qvveedt-0lq8ilybenl" Type="http://schemas.openxmlformats.org/officeDocument/2006/relationships/hyperlink" Target="https://www.ugpti.org/resources/reports/downloads/2024-10-infrastructure-needs.pdf" TargetMode="External"/><Relationship Id="rIdkepmiy2u6vu0n8ojo3clo" Type="http://schemas.openxmlformats.org/officeDocument/2006/relationships/hyperlink" Target="https://tedb.ornl.gov/" TargetMode="External"/><Relationship Id="rId4ninbgm8krwmaxvanos9f" Type="http://schemas.openxmlformats.org/officeDocument/2006/relationships/hyperlink" Target="https://www.census.gov/geographies/reference-files/time-series/geo/gazetteer-files.html" TargetMode="External"/><Relationship Id="rIdsfmtmapheq5grox4i-e7l" Type="http://schemas.openxmlformats.org/officeDocument/2006/relationships/hyperlink" Target="https://www.nass.usda.gov/Publications/AgCensus/2022/Full_Report/Volume_1,_Chapter_1_State_Level/North_Dakota/" TargetMode="External"/><Relationship Id="rIdwfc5qasqtc7rahdhhr5qt" Type="http://schemas.openxmlformats.org/officeDocument/2006/relationships/hyperlink" Target="https://www.ndda.nd.gov/sites/www/files/documents/files/Livestock%20Auction%20Markets.pdf" TargetMode="External"/><Relationship Id="rIdngyw8wstm6cbpywcyews6" Type="http://schemas.openxmlformats.org/officeDocument/2006/relationships/hyperlink" Target="https://www.ers.usda.gov/data-products/fertilizer-use-and-price" TargetMode="External"/><Relationship Id="rIdwgsmln3xmk8fkow0ftcyc" Type="http://schemas.openxmlformats.org/officeDocument/2006/relationships/hyperlink" Target="https://www.census.gov/programs-surveys/vius.html" TargetMode="External"/><Relationship Id="rIdbo9tu2mewyz4mg0ykmows" Type="http://schemas.openxmlformats.org/officeDocument/2006/relationships/hyperlink" Target="https://www.nass.usda.gov/Publications/AgCensus/2022/Full_Report/Volume_1,_Chapter_2_County_Level/North_Dakota/" TargetMode="External"/><Relationship Id="rIdk_hqj7lc8lkniq2tbkt3s" Type="http://schemas.openxmlformats.org/officeDocument/2006/relationships/hyperlink" Target="https://www.law.cornell.edu/uscode/text/26/6715" TargetMode="External"/><Relationship Id="rIdyhsxyr9p_8aeduaf64qo3" Type="http://schemas.openxmlformats.org/officeDocument/2006/relationships/hyperlink" Target="https://wlazarus.cfans.umn.edu/" TargetMode="External"/><Relationship Id="rIdgajv01q2qkelhcklc-p-a" Type="http://schemas.openxmlformats.org/officeDocument/2006/relationships/hyperlink" Target="https://www.extension.iastate.edu/agdm/crops/html/a3-27.html" TargetMode="External"/><Relationship Id="rIdbrepxqmrv_nkdukcf37e1" Type="http://schemas.openxmlformats.org/officeDocument/2006/relationships/hyperlink" Target="https://www.ers.usda.gov/data-products/farm-income-and-wealth-statistics/" TargetMode="External"/><Relationship Id="rIdihrvedeulpjuengpnx0kb" Type="http://schemas.openxmlformats.org/officeDocument/2006/relationships/hyperlink" Target="https://www.nass.usda.gov/Publications/AgCensus/2022/Full_Report/Volume_1,_Chapter_1_State_Level/North_Dakota/" TargetMode="External"/><Relationship Id="rIdcd2bqfmwveeqesvjaxprb" Type="http://schemas.openxmlformats.org/officeDocument/2006/relationships/hyperlink" Target="https://ndlegis.gov/cencode/t54c27.pdf" TargetMode="External"/><Relationship Id="rIde0jzehocoz2qmujokla45" Type="http://schemas.openxmlformats.org/officeDocument/2006/relationships/hyperlink" Target="https://www.fhwa.dot.gov/policyinformation/statistics/2024/" TargetMode="External"/><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2026-10-02T19:30:27.298Z</dcterms:created>
  <dcterms:modified xsi:type="dcterms:W3CDTF">2026-10-02T19:30:27.299Z</dcterms:modified>
</cp:coreProperties>
</file>

<file path=docProps/custom.xml><?xml version="1.0" encoding="utf-8"?>
<Properties xmlns="http://schemas.openxmlformats.org/officeDocument/2006/custom-properties" xmlns:vt="http://schemas.openxmlformats.org/officeDocument/2006/docPropsVTypes"/>
</file>