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2"/>
          <w:szCs w:val="32"/>
        </w:rPr>
        <w:t xml:space="preserve">What North Dakota's Dyed-Diesel Order Saves Farmers in 2026</w:t>
      </w:r>
    </w:p>
    <w:p>
      <w:pPr>
        <w:spacing w:after="200"/>
      </w:pPr>
      <w:r>
        <w:rPr>
          <w:rFonts w:ascii="Calibri" w:cs="Calibri" w:eastAsia="Calibri" w:hAnsi="Calibri"/>
          <w:color w:val="52514E"/>
          <w:sz w:val="18"/>
          <w:szCs w:val="18"/>
        </w:rPr>
        <w:t xml:space="preserve">A five-parameter estimate · Matthew Gammans, NDSU CAPTS (draft) · October 2, 2026</w:t>
      </w:r>
    </w:p>
    <w:p>
      <w:pPr>
        <w:spacing w:after="120"/>
      </w:pPr>
      <w:r>
        <w:rPr>
          <w:rFonts w:ascii="Calibri" w:cs="Calibri" w:eastAsia="Calibri" w:hAnsi="Calibri"/>
          <w:b/>
          <w:bCs/>
          <w:sz w:val="20"/>
          <w:szCs w:val="20"/>
        </w:rPr>
        <w:t xml:space="preserve">Estimate: </w:t>
      </w:r>
      <w:r>
        <w:rPr>
          <w:rFonts w:ascii="Calibri" w:cs="Calibri" w:eastAsia="Calibri" w:hAnsi="Calibri"/>
          <w:b/>
          <w:bCs/>
          <w:sz w:val="20"/>
          <w:szCs w:val="20"/>
        </w:rPr>
        <w:t xml:space="preserve">about $0.9 million</w:t>
      </w:r>
      <w:r>
        <w:rPr>
          <w:rFonts w:ascii="Calibri" w:cs="Calibri" w:eastAsia="Calibri" w:hAnsi="Calibri"/>
          <w:sz w:val="20"/>
          <w:szCs w:val="20"/>
        </w:rPr>
        <w:t xml:space="preserve"> in state fuel tax saved on 4.8 million gallons of truck diesel, hauling corn, soybeans and wheat to market between Sept. 29 and Nov. 30, 2026. This assumes every eligible truck gallon switches to dyed fuel, so it is an upper bound.</w:t>
      </w:r>
    </w:p>
    <w:p>
      <w:pPr>
        <w:pStyle w:val="Heading1"/>
        <w:spacing w:after="100" w:before="240"/>
      </w:pPr>
      <w:r>
        <w:rPr>
          <w:rFonts w:ascii="Calibri" w:cs="Calibri" w:eastAsia="Calibri" w:hAnsi="Calibri"/>
        </w:rPr>
        <w:t xml:space="preserve">Method</w:t>
      </w:r>
    </w:p>
    <w:p>
      <w:pPr>
        <w:spacing w:after="120"/>
      </w:pPr>
      <w:r>
        <w:rPr>
          <w:rFonts w:ascii="Calibri" w:cs="Calibri" w:eastAsia="Calibri" w:hAnsi="Calibri"/>
          <w:b/>
          <w:bCs/>
          <w:sz w:val="20"/>
          <w:szCs w:val="20"/>
        </w:rPr>
        <w:t xml:space="preserve">Policy definition: </w:t>
      </w:r>
      <w:r>
        <w:rPr>
          <w:rFonts w:ascii="Calibri" w:cs="Calibri" w:eastAsia="Calibri" w:hAnsi="Calibri"/>
          <w:sz w:val="20"/>
          <w:szCs w:val="20"/>
        </w:rPr>
        <w:t xml:space="preserve">19¢ saved per gallon (ND tax of 23¢ on clear diesel vs. 4¢ on dyed, NDCC 57-43.2); window Sept. 29–Nov. 30, 2026 (63 days); licensed vehicles hauling agricultural products.</w:t>
      </w:r>
    </w:p>
    <w:p>
      <w:pPr>
        <w:spacing w:after="120"/>
      </w:pPr>
      <w:r>
        <w:rPr>
          <w:rFonts w:ascii="Calibri" w:cs="Calibri" w:eastAsia="Calibri" w:hAnsi="Calibri"/>
          <w:b/>
          <w:bCs/>
          <w:sz w:val="20"/>
          <w:szCs w:val="20"/>
        </w:rPr>
        <w:t xml:space="preserve">Formula: </w:t>
      </w:r>
      <w:r>
        <w:rPr>
          <w:rFonts w:ascii="Calibri" w:cs="Calibri" w:eastAsia="Calibri" w:hAnsi="Calibri"/>
          <w:sz w:val="20"/>
          <w:szCs w:val="20"/>
        </w:rPr>
        <w:t xml:space="preserve">savings = Σ crops [ production × share hauled off-farm in window ] × (2 × one-way miles ÷ mpg ÷ tons per load) × $0.19</w:t>
      </w:r>
    </w:p>
    <w:p>
      <w:pPr>
        <w:pStyle w:val="Heading1"/>
        <w:spacing w:after="100" w:before="240"/>
      </w:pPr>
      <w:r>
        <w:rPr>
          <w:rFonts w:ascii="Calibri" w:cs="Calibri" w:eastAsia="Calibri" w:hAnsi="Calibri"/>
        </w:rPr>
        <w:t xml:space="preserve">Five sourced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r>
              <w:rPr>
                <w:rFonts w:ascii="Calibri" w:cs="Calibri" w:eastAsia="Calibri" w:hAnsi="Calibri"/>
                <w:b/>
                <w:bCs/>
                <w:color w:val="FFFFFF"/>
                <w:sz w:val="18"/>
                <w:szCs w:val="18"/>
              </w:rPr>
              <w:t xml:space="preserve">Parameter</w:t>
            </w:r>
          </w:p>
        </w:tc>
        <w:tc>
          <w:tcPr>
            <w:tcW w:type="dxa" w:w="270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r>
              <w:rPr>
                <w:rFonts w:ascii="Calibri" w:cs="Calibri" w:eastAsia="Calibri" w:hAnsi="Calibri"/>
                <w:b/>
                <w:bCs/>
                <w:color w:val="FFFFFF"/>
                <w:sz w:val="18"/>
                <w:szCs w:val="18"/>
              </w:rPr>
              <w:t xml:space="preserve">Value</w:t>
            </w:r>
          </w:p>
        </w:tc>
        <w:tc>
          <w:tcPr>
            <w:tcW w:type="dxa" w:w="436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r>
              <w:rPr>
                <w:rFonts w:ascii="Calibri" w:cs="Calibri" w:eastAsia="Calibri" w:hAnsi="Calibri"/>
                <w:b/>
                <w:bCs/>
                <w:color w:val="FFFFFF"/>
                <w:sz w:val="18"/>
                <w:szCs w:val="18"/>
              </w:rPr>
              <w:t xml:space="preserve">Source</w:t>
            </w:r>
          </w:p>
        </w:tc>
      </w:tr>
      <w:tr>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1. 2026 production</w:t>
            </w:r>
          </w:p>
        </w:tc>
        <w:tc>
          <w:tcPr>
            <w:tcW w:type="dxa" w:w="27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Corn 578.5M bu; soybeans 203.7M bu; spring wheat + durum 282.4M bu</w:t>
            </w:r>
          </w:p>
        </w:tc>
        <w:tc>
          <w:tcPr>
            <w:tcW w:type="dxa" w:w="436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NASS Crop Production, Sept. 11, 2026 (corn, soybeans; nass_crop0926.txt) and Aug. 12, 2026 (spring wheat, durum; nass_crop0826.txt)</w:t>
            </w:r>
          </w:p>
        </w:tc>
      </w:tr>
      <w:tr>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2. Share hauled off-farm in the window</w:t>
            </w:r>
          </w:p>
        </w:tc>
        <w:tc>
          <w:tcPr>
            <w:tcW w:type="dxa" w:w="27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Corn 43%; soybeans 60%; wheat 10%</w:t>
            </w:r>
          </w:p>
        </w:tc>
        <w:tc>
          <w:tcPr>
            <w:tcW w:type="dxa" w:w="436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Corn and soybeans: 1 − Dec. 1 on-farm stocks ÷ production. Wheat: Sept. 1–Dec. 1 drop in on-farm stocks ÷ production × 63/91 days. 2024–25 average. NASS Grain Stocks: Sept. 30, 2024 &amp; 2025; Jan. 2025 &amp; Jan. 12, 2026 (src2_grst*.txt); NASS Crop Production 2025 Summary, Jan. 12, 2026 (src2_cropan26.txt)</w:t>
            </w:r>
          </w:p>
        </w:tc>
      </w:tr>
      <w:tr>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3. One-way haul distance</w:t>
            </w:r>
          </w:p>
        </w:tc>
        <w:tc>
          <w:tcPr>
            <w:tcW w:type="dxa" w:w="27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Corn and soybeans 27.8 mi; wheat 24.5 mi</w:t>
            </w:r>
          </w:p>
        </w:tc>
        <w:tc>
          <w:tcPr>
            <w:tcW w:type="dxa" w:w="436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UGPTI DP-284 (Vachal 2015), ND corn Table 3.56 (also used for soybeans; no ND soybean table) and ND wheat Table 3.52</w:t>
            </w:r>
          </w:p>
        </w:tc>
      </w:tr>
      <w:tr>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4. Tons per truckload</w:t>
            </w:r>
          </w:p>
        </w:tc>
        <w:tc>
          <w:tcPr>
            <w:tcW w:type="dxa" w:w="27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Corn 21.5; soybeans 21.7; wheat 22.0</w:t>
            </w:r>
          </w:p>
        </w:tc>
        <w:tc>
          <w:tcPr>
            <w:tcW w:type="dxa" w:w="436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UGPTI DP-284 Table 3.65 (bushels per load) weighted by UGPTI Infrastructure Needs 2024 Table 12 (share of ND grain by truck type)</w:t>
            </w:r>
          </w:p>
        </w:tc>
      </w:tr>
      <w:tr>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5. Truck fuel economy</w:t>
            </w:r>
          </w:p>
        </w:tc>
        <w:tc>
          <w:tcPr>
            <w:tcW w:type="dxa" w:w="27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6.2 mpg (loaded and empty miles)</w:t>
            </w:r>
          </w:p>
        </w:tc>
        <w:tc>
          <w:tcPr>
            <w:tcW w:type="dxa" w:w="436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ORNL Transportation Energy Data Book Ed. 40, Table 5.2: Class 7-8 combination trucks, 2020 average</w:t>
            </w:r>
          </w:p>
        </w:tc>
      </w:tr>
    </w:tbl>
    <w:p>
      <w:pPr>
        <w:spacing w:after="120"/>
      </w:pPr>
      <w:r>
        <w:rPr>
          <w:rFonts w:ascii="Calibri" w:cs="Calibri" w:eastAsia="Calibri" w:hAnsi="Calibri"/>
          <w:i/>
          <w:iCs/>
          <w:sz w:val="18"/>
          <w:szCs w:val="18"/>
        </w:rPr>
        <w:t xml:space="preserve">Datasets used (6): NASS Crop Production 2026; NASS Crop Production 2025 Summary; NASS Grain Stocks (2024–2026 releases); UGPTI DP-284 farm truck survey; UGPTI Infrastructure Needs 2024; ORNL Transportation Energy Data Book Ed. 40. The policy definition comes from EO 2026-08 and NDCC 57-43.2.</w:t>
      </w:r>
    </w:p>
    <w:p>
      <w:pPr>
        <w:pStyle w:val="Heading1"/>
        <w:spacing w:after="100" w:before="240"/>
      </w:pPr>
      <w:r>
        <w:rPr>
          <w:rFonts w:ascii="Calibri" w:cs="Calibri" w:eastAsia="Calibri" w:hAnsi="Calibri"/>
        </w:rPr>
        <w:t xml:space="preserve">How parameter 2 is calculated: share of grain that left the farm</w:t>
      </w:r>
    </w:p>
    <w:p>
      <w:pPr>
        <w:spacing w:after="100"/>
      </w:pPr>
      <w:r>
        <w:rPr>
          <w:rFonts w:ascii="Calibri" w:cs="Calibri" w:eastAsia="Calibri" w:hAnsi="Calibri"/>
          <w:sz w:val="19"/>
          <w:szCs w:val="19"/>
        </w:rPr>
        <w:t xml:space="preserve">NASS Grain Stocks reports how much grain sits in on-farm storage on set dates. For corn and soybeans, the crop that is not in a farm bin on Dec. 1 has left the farm during harvest. Wheat is harvested in August, so its fall hauling is the drop in on-farm stocks from Sept. 1 to Dec. 1, scaled to the order's 63 of those 91 days. The 2024 and 2025 shares are averaged, because Dec. 1, 2026 stocks will not be published until January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500"/>
        <w:gridCol w:w="2300"/>
        <w:gridCol w:w="1560"/>
        <w:gridCol w:w="1800"/>
      </w:tblGrid>
      <w:tr>
        <w:trPr>
          <w:tblHeader/>
        </w:trPr>
        <w:tc>
          <w:tcPr>
            <w:tcW w:type="dxa" w:w="130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r>
              <w:rPr>
                <w:rFonts w:ascii="Calibri" w:cs="Calibri" w:eastAsia="Calibri" w:hAnsi="Calibri"/>
                <w:b/>
                <w:bCs/>
                <w:color w:val="FFFFFF"/>
                <w:sz w:val="18"/>
                <w:szCs w:val="18"/>
              </w:rPr>
              <w:t xml:space="preserve">Crop</w:t>
            </w:r>
          </w:p>
        </w:tc>
        <w:tc>
          <w:tcPr>
            <w:tcW w:type="dxa" w:w="90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r>
              <w:rPr>
                <w:rFonts w:ascii="Calibri" w:cs="Calibri" w:eastAsia="Calibri" w:hAnsi="Calibri"/>
                <w:b/>
                <w:bCs/>
                <w:color w:val="FFFFFF"/>
                <w:sz w:val="18"/>
                <w:szCs w:val="18"/>
              </w:rPr>
              <w:t xml:space="preserve">Year</w:t>
            </w:r>
          </w:p>
        </w:tc>
        <w:tc>
          <w:tcPr>
            <w:tcW w:type="dxa" w:w="150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Production</w:t>
            </w:r>
          </w:p>
        </w:tc>
        <w:tc>
          <w:tcPr>
            <w:tcW w:type="dxa" w:w="230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On-farm stocks</w:t>
            </w:r>
          </w:p>
        </w:tc>
        <w:tc>
          <w:tcPr>
            <w:tcW w:type="dxa" w:w="156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Left the farm</w:t>
            </w:r>
          </w:p>
        </w:tc>
        <w:tc>
          <w:tcPr>
            <w:tcW w:type="dxa" w:w="180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Share used</w:t>
            </w:r>
          </w:p>
        </w:tc>
      </w:tr>
      <w:tr>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Corn</w:t>
            </w:r>
          </w:p>
        </w:tc>
        <w:tc>
          <w:tcPr>
            <w:tcW w:type="dxa" w:w="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2024</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542.4</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Dec. 1: 325.0</w:t>
            </w:r>
          </w:p>
        </w:tc>
        <w:tc>
          <w:tcPr>
            <w:tcW w:type="dxa" w:w="156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217.4</w:t>
            </w:r>
          </w:p>
        </w:tc>
        <w:tc>
          <w:tcPr>
            <w:tcW w:type="dxa" w:w="18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40.1%</w:t>
            </w:r>
          </w:p>
        </w:tc>
      </w:tr>
      <w:tr>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Corn</w:t>
            </w:r>
          </w:p>
        </w:tc>
        <w:tc>
          <w:tcPr>
            <w:tcW w:type="dxa" w:w="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2025</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711.0</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Dec. 1: 380.0</w:t>
            </w:r>
          </w:p>
        </w:tc>
        <w:tc>
          <w:tcPr>
            <w:tcW w:type="dxa" w:w="156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331.0</w:t>
            </w:r>
          </w:p>
        </w:tc>
        <w:tc>
          <w:tcPr>
            <w:tcW w:type="dxa" w:w="18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46.6%</w:t>
            </w:r>
          </w:p>
        </w:tc>
      </w:tr>
      <w:tr>
        <w:tc>
          <w:tcPr>
            <w:tcW w:type="dxa" w:w="130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r>
              <w:rPr>
                <w:rFonts w:ascii="Calibri" w:cs="Calibri" w:eastAsia="Calibri" w:hAnsi="Calibri"/>
                <w:b/>
                <w:bCs/>
                <w:sz w:val="18"/>
                <w:szCs w:val="18"/>
              </w:rPr>
              <w:t xml:space="preserve">Corn average</w:t>
            </w:r>
          </w:p>
        </w:tc>
        <w:tc>
          <w:tcPr>
            <w:tcW w:type="dxa" w:w="90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r>
              <w:rPr>
                <w:rFonts w:ascii="Calibri" w:cs="Calibri" w:eastAsia="Calibri" w:hAnsi="Calibri"/>
                <w:b/>
                <w:bCs/>
                <w:sz w:val="18"/>
                <w:szCs w:val="18"/>
              </w:rPr>
              <w:t xml:space="preserve">2024–25</w:t>
            </w:r>
          </w:p>
        </w:tc>
        <w:tc>
          <w:tcPr>
            <w:tcW w:type="dxa" w:w="150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pPr>
              <w:jc w:val="right"/>
            </w:pPr>
            <w:r>
              <w:rPr>
                <w:rFonts w:ascii="Calibri" w:cs="Calibri" w:eastAsia="Calibri" w:hAnsi="Calibri"/>
                <w:b/>
                <w:bCs/>
                <w:sz w:val="18"/>
                <w:szCs w:val="18"/>
              </w:rPr>
              <w:t xml:space="preserve"/>
            </w:r>
          </w:p>
        </w:tc>
        <w:tc>
          <w:tcPr>
            <w:tcW w:type="dxa" w:w="230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pPr>
              <w:jc w:val="right"/>
            </w:pPr>
            <w:r>
              <w:rPr>
                <w:rFonts w:ascii="Calibri" w:cs="Calibri" w:eastAsia="Calibri" w:hAnsi="Calibri"/>
                <w:b/>
                <w:bCs/>
                <w:sz w:val="18"/>
                <w:szCs w:val="18"/>
              </w:rPr>
              <w:t xml:space="preserve"/>
            </w:r>
          </w:p>
        </w:tc>
        <w:tc>
          <w:tcPr>
            <w:tcW w:type="dxa" w:w="156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pPr>
              <w:jc w:val="right"/>
            </w:pPr>
            <w:r>
              <w:rPr>
                <w:rFonts w:ascii="Calibri" w:cs="Calibri" w:eastAsia="Calibri" w:hAnsi="Calibri"/>
                <w:b/>
                <w:bCs/>
                <w:sz w:val="18"/>
                <w:szCs w:val="18"/>
              </w:rPr>
              <w:t xml:space="preserve"/>
            </w:r>
          </w:p>
        </w:tc>
        <w:tc>
          <w:tcPr>
            <w:tcW w:type="dxa" w:w="180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pPr>
              <w:jc w:val="right"/>
            </w:pPr>
            <w:r>
              <w:rPr>
                <w:rFonts w:ascii="Calibri" w:cs="Calibri" w:eastAsia="Calibri" w:hAnsi="Calibri"/>
                <w:b/>
                <w:bCs/>
                <w:sz w:val="18"/>
                <w:szCs w:val="18"/>
              </w:rPr>
              <w:t xml:space="preserve">43.3%</w:t>
            </w:r>
          </w:p>
        </w:tc>
      </w:tr>
      <w:tr>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Soybeans</w:t>
            </w:r>
          </w:p>
        </w:tc>
        <w:tc>
          <w:tcPr>
            <w:tcW w:type="dxa" w:w="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2024</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245.6</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Dec. 1: 79.0</w:t>
            </w:r>
          </w:p>
        </w:tc>
        <w:tc>
          <w:tcPr>
            <w:tcW w:type="dxa" w:w="156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166.6</w:t>
            </w:r>
          </w:p>
        </w:tc>
        <w:tc>
          <w:tcPr>
            <w:tcW w:type="dxa" w:w="18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67.8%</w:t>
            </w:r>
          </w:p>
        </w:tc>
      </w:tr>
      <w:tr>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Soybeans</w:t>
            </w:r>
          </w:p>
        </w:tc>
        <w:tc>
          <w:tcPr>
            <w:tcW w:type="dxa" w:w="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2025</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223.9</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Dec. 1: 105.0</w:t>
            </w:r>
          </w:p>
        </w:tc>
        <w:tc>
          <w:tcPr>
            <w:tcW w:type="dxa" w:w="156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118.9</w:t>
            </w:r>
          </w:p>
        </w:tc>
        <w:tc>
          <w:tcPr>
            <w:tcW w:type="dxa" w:w="18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53.1%</w:t>
            </w:r>
          </w:p>
        </w:tc>
      </w:tr>
      <w:tr>
        <w:tc>
          <w:tcPr>
            <w:tcW w:type="dxa" w:w="130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r>
              <w:rPr>
                <w:rFonts w:ascii="Calibri" w:cs="Calibri" w:eastAsia="Calibri" w:hAnsi="Calibri"/>
                <w:b/>
                <w:bCs/>
                <w:sz w:val="18"/>
                <w:szCs w:val="18"/>
              </w:rPr>
              <w:t xml:space="preserve">Soybeans average</w:t>
            </w:r>
          </w:p>
        </w:tc>
        <w:tc>
          <w:tcPr>
            <w:tcW w:type="dxa" w:w="90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r>
              <w:rPr>
                <w:rFonts w:ascii="Calibri" w:cs="Calibri" w:eastAsia="Calibri" w:hAnsi="Calibri"/>
                <w:b/>
                <w:bCs/>
                <w:sz w:val="18"/>
                <w:szCs w:val="18"/>
              </w:rPr>
              <w:t xml:space="preserve">2024–25</w:t>
            </w:r>
          </w:p>
        </w:tc>
        <w:tc>
          <w:tcPr>
            <w:tcW w:type="dxa" w:w="150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pPr>
              <w:jc w:val="right"/>
            </w:pPr>
            <w:r>
              <w:rPr>
                <w:rFonts w:ascii="Calibri" w:cs="Calibri" w:eastAsia="Calibri" w:hAnsi="Calibri"/>
                <w:b/>
                <w:bCs/>
                <w:sz w:val="18"/>
                <w:szCs w:val="18"/>
              </w:rPr>
              <w:t xml:space="preserve"/>
            </w:r>
          </w:p>
        </w:tc>
        <w:tc>
          <w:tcPr>
            <w:tcW w:type="dxa" w:w="230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pPr>
              <w:jc w:val="right"/>
            </w:pPr>
            <w:r>
              <w:rPr>
                <w:rFonts w:ascii="Calibri" w:cs="Calibri" w:eastAsia="Calibri" w:hAnsi="Calibri"/>
                <w:b/>
                <w:bCs/>
                <w:sz w:val="18"/>
                <w:szCs w:val="18"/>
              </w:rPr>
              <w:t xml:space="preserve"/>
            </w:r>
          </w:p>
        </w:tc>
        <w:tc>
          <w:tcPr>
            <w:tcW w:type="dxa" w:w="156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pPr>
              <w:jc w:val="right"/>
            </w:pPr>
            <w:r>
              <w:rPr>
                <w:rFonts w:ascii="Calibri" w:cs="Calibri" w:eastAsia="Calibri" w:hAnsi="Calibri"/>
                <w:b/>
                <w:bCs/>
                <w:sz w:val="18"/>
                <w:szCs w:val="18"/>
              </w:rPr>
              <w:t xml:space="preserve"/>
            </w:r>
          </w:p>
        </w:tc>
        <w:tc>
          <w:tcPr>
            <w:tcW w:type="dxa" w:w="180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pPr>
              <w:jc w:val="right"/>
            </w:pPr>
            <w:r>
              <w:rPr>
                <w:rFonts w:ascii="Calibri" w:cs="Calibri" w:eastAsia="Calibri" w:hAnsi="Calibri"/>
                <w:b/>
                <w:bCs/>
                <w:sz w:val="18"/>
                <w:szCs w:val="18"/>
              </w:rPr>
              <w:t xml:space="preserve">60.5%</w:t>
            </w:r>
          </w:p>
        </w:tc>
      </w:tr>
      <w:tr>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Wheat</w:t>
            </w:r>
          </w:p>
        </w:tc>
        <w:tc>
          <w:tcPr>
            <w:tcW w:type="dxa" w:w="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2024</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368.3</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Sept. 1: 222.0 → Dec. 1: 173.0</w:t>
            </w:r>
          </w:p>
        </w:tc>
        <w:tc>
          <w:tcPr>
            <w:tcW w:type="dxa" w:w="156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49.0</w:t>
            </w:r>
          </w:p>
        </w:tc>
        <w:tc>
          <w:tcPr>
            <w:tcW w:type="dxa" w:w="18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13.3% × 63/91 = 9.2%</w:t>
            </w:r>
          </w:p>
        </w:tc>
      </w:tr>
      <w:tr>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Wheat</w:t>
            </w:r>
          </w:p>
        </w:tc>
        <w:tc>
          <w:tcPr>
            <w:tcW w:type="dxa" w:w="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2025</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334.1</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Sept. 1: 221.0 → Dec. 1: 168.0</w:t>
            </w:r>
          </w:p>
        </w:tc>
        <w:tc>
          <w:tcPr>
            <w:tcW w:type="dxa" w:w="156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53.0</w:t>
            </w:r>
          </w:p>
        </w:tc>
        <w:tc>
          <w:tcPr>
            <w:tcW w:type="dxa" w:w="18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15.9% × 63/91 = 11.0%</w:t>
            </w:r>
          </w:p>
        </w:tc>
      </w:tr>
      <w:tr>
        <w:tc>
          <w:tcPr>
            <w:tcW w:type="dxa" w:w="130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r>
              <w:rPr>
                <w:rFonts w:ascii="Calibri" w:cs="Calibri" w:eastAsia="Calibri" w:hAnsi="Calibri"/>
                <w:b/>
                <w:bCs/>
                <w:sz w:val="18"/>
                <w:szCs w:val="18"/>
              </w:rPr>
              <w:t xml:space="preserve">Wheat average</w:t>
            </w:r>
          </w:p>
        </w:tc>
        <w:tc>
          <w:tcPr>
            <w:tcW w:type="dxa" w:w="90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r>
              <w:rPr>
                <w:rFonts w:ascii="Calibri" w:cs="Calibri" w:eastAsia="Calibri" w:hAnsi="Calibri"/>
                <w:b/>
                <w:bCs/>
                <w:sz w:val="18"/>
                <w:szCs w:val="18"/>
              </w:rPr>
              <w:t xml:space="preserve">2024–25</w:t>
            </w:r>
          </w:p>
        </w:tc>
        <w:tc>
          <w:tcPr>
            <w:tcW w:type="dxa" w:w="150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pPr>
              <w:jc w:val="right"/>
            </w:pPr>
            <w:r>
              <w:rPr>
                <w:rFonts w:ascii="Calibri" w:cs="Calibri" w:eastAsia="Calibri" w:hAnsi="Calibri"/>
                <w:b/>
                <w:bCs/>
                <w:sz w:val="18"/>
                <w:szCs w:val="18"/>
              </w:rPr>
              <w:t xml:space="preserve"/>
            </w:r>
          </w:p>
        </w:tc>
        <w:tc>
          <w:tcPr>
            <w:tcW w:type="dxa" w:w="230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pPr>
              <w:jc w:val="right"/>
            </w:pPr>
            <w:r>
              <w:rPr>
                <w:rFonts w:ascii="Calibri" w:cs="Calibri" w:eastAsia="Calibri" w:hAnsi="Calibri"/>
                <w:b/>
                <w:bCs/>
                <w:sz w:val="18"/>
                <w:szCs w:val="18"/>
              </w:rPr>
              <w:t xml:space="preserve"/>
            </w:r>
          </w:p>
        </w:tc>
        <w:tc>
          <w:tcPr>
            <w:tcW w:type="dxa" w:w="156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pPr>
              <w:jc w:val="right"/>
            </w:pPr>
            <w:r>
              <w:rPr>
                <w:rFonts w:ascii="Calibri" w:cs="Calibri" w:eastAsia="Calibri" w:hAnsi="Calibri"/>
                <w:b/>
                <w:bCs/>
                <w:sz w:val="18"/>
                <w:szCs w:val="18"/>
              </w:rPr>
              <w:t xml:space="preserve"/>
            </w:r>
          </w:p>
        </w:tc>
        <w:tc>
          <w:tcPr>
            <w:tcW w:type="dxa" w:w="180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pPr>
              <w:jc w:val="right"/>
            </w:pPr>
            <w:r>
              <w:rPr>
                <w:rFonts w:ascii="Calibri" w:cs="Calibri" w:eastAsia="Calibri" w:hAnsi="Calibri"/>
                <w:b/>
                <w:bCs/>
                <w:sz w:val="18"/>
                <w:szCs w:val="18"/>
              </w:rPr>
              <w:t xml:space="preserve">10.1%</w:t>
            </w:r>
          </w:p>
        </w:tc>
      </w:tr>
    </w:tbl>
    <w:p>
      <w:pPr>
        <w:spacing w:after="160"/>
      </w:pPr>
      <w:r>
        <w:rPr>
          <w:rFonts w:ascii="Calibri" w:cs="Calibri" w:eastAsia="Calibri" w:hAnsi="Calibri"/>
          <w:i/>
          <w:iCs/>
          <w:sz w:val="17"/>
          <w:szCs w:val="17"/>
        </w:rPr>
        <w:t xml:space="preserve">Million bushels. Production: NASS Crop Production 2025 Summary. Stocks: NASS Grain Stocks (Sept. and Jan. releases), North Dakota on-farm.</w:t>
      </w:r>
    </w:p>
    <w:p>
      <w:pPr>
        <w:pStyle w:val="Heading1"/>
        <w:spacing w:after="100" w:before="240"/>
      </w:pPr>
      <w:r>
        <w:rPr>
          <w:rFonts w:ascii="Calibri" w:cs="Calibri" w:eastAsia="Calibri" w:hAnsi="Calibri"/>
        </w:rPr>
        <w:t xml:space="preserv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200"/>
        <w:gridCol w:w="1350"/>
        <w:gridCol w:w="1250"/>
        <w:gridCol w:w="1350"/>
        <w:gridCol w:w="1410"/>
      </w:tblGrid>
      <w:tr>
        <w:trPr>
          <w:tblHeader/>
        </w:trPr>
        <w:tc>
          <w:tcPr>
            <w:tcW w:type="dxa" w:w="150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r>
              <w:rPr>
                <w:rFonts w:ascii="Calibri" w:cs="Calibri" w:eastAsia="Calibri" w:hAnsi="Calibri"/>
                <w:b/>
                <w:bCs/>
                <w:color w:val="FFFFFF"/>
                <w:sz w:val="18"/>
                <w:szCs w:val="18"/>
              </w:rPr>
              <w:t xml:space="preserve">Crop</w:t>
            </w:r>
          </w:p>
        </w:tc>
        <w:tc>
          <w:tcPr>
            <w:tcW w:type="dxa" w:w="130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Production (M tons)</w:t>
            </w:r>
          </w:p>
        </w:tc>
        <w:tc>
          <w:tcPr>
            <w:tcW w:type="dxa" w:w="120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Share hauled</w:t>
            </w:r>
          </w:p>
        </w:tc>
        <w:tc>
          <w:tcPr>
            <w:tcW w:type="dxa" w:w="135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Hauled (M tons)</w:t>
            </w:r>
          </w:p>
        </w:tc>
        <w:tc>
          <w:tcPr>
            <w:tcW w:type="dxa" w:w="125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Gal per ton</w:t>
            </w:r>
          </w:p>
        </w:tc>
        <w:tc>
          <w:tcPr>
            <w:tcW w:type="dxa" w:w="135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Gallons</w:t>
            </w:r>
          </w:p>
        </w:tc>
        <w:tc>
          <w:tcPr>
            <w:tcW w:type="dxa" w:w="141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Savings</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Corn</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16.20</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43%</w:t>
            </w:r>
          </w:p>
        </w:tc>
        <w:tc>
          <w:tcPr>
            <w:tcW w:type="dxa" w:w="135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7.02</w:t>
            </w:r>
          </w:p>
        </w:tc>
        <w:tc>
          <w:tcPr>
            <w:tcW w:type="dxa" w:w="125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0.418</w:t>
            </w:r>
          </w:p>
        </w:tc>
        <w:tc>
          <w:tcPr>
            <w:tcW w:type="dxa" w:w="135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2.93M</w:t>
            </w:r>
          </w:p>
        </w:tc>
        <w:tc>
          <w:tcPr>
            <w:tcW w:type="dxa" w:w="141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$557K</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Soybeans</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6.11</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60%</w:t>
            </w:r>
          </w:p>
        </w:tc>
        <w:tc>
          <w:tcPr>
            <w:tcW w:type="dxa" w:w="135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3.70</w:t>
            </w:r>
          </w:p>
        </w:tc>
        <w:tc>
          <w:tcPr>
            <w:tcW w:type="dxa" w:w="125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0.413</w:t>
            </w:r>
          </w:p>
        </w:tc>
        <w:tc>
          <w:tcPr>
            <w:tcW w:type="dxa" w:w="135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1.53M</w:t>
            </w:r>
          </w:p>
        </w:tc>
        <w:tc>
          <w:tcPr>
            <w:tcW w:type="dxa" w:w="141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$290K</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Wheat</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8.47</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10%</w:t>
            </w:r>
          </w:p>
        </w:tc>
        <w:tc>
          <w:tcPr>
            <w:tcW w:type="dxa" w:w="135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0.86</w:t>
            </w:r>
          </w:p>
        </w:tc>
        <w:tc>
          <w:tcPr>
            <w:tcW w:type="dxa" w:w="125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0.360</w:t>
            </w:r>
          </w:p>
        </w:tc>
        <w:tc>
          <w:tcPr>
            <w:tcW w:type="dxa" w:w="135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0.31M</w:t>
            </w:r>
          </w:p>
        </w:tc>
        <w:tc>
          <w:tcPr>
            <w:tcW w:type="dxa" w:w="141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$58K</w:t>
            </w:r>
          </w:p>
        </w:tc>
      </w:tr>
      <w:tr>
        <w:tc>
          <w:tcPr>
            <w:tcW w:type="dxa" w:w="150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r>
              <w:rPr>
                <w:rFonts w:ascii="Calibri" w:cs="Calibri" w:eastAsia="Calibri" w:hAnsi="Calibri"/>
                <w:b/>
                <w:bCs/>
                <w:sz w:val="18"/>
                <w:szCs w:val="18"/>
              </w:rPr>
              <w:t xml:space="preserve">Total</w:t>
            </w:r>
          </w:p>
        </w:tc>
        <w:tc>
          <w:tcPr>
            <w:tcW w:type="dxa" w:w="130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pPr>
              <w:jc w:val="right"/>
            </w:pPr>
            <w:r>
              <w:rPr>
                <w:rFonts w:ascii="Calibri" w:cs="Calibri" w:eastAsia="Calibri" w:hAnsi="Calibri"/>
                <w:b/>
                <w:bCs/>
                <w:sz w:val="18"/>
                <w:szCs w:val="18"/>
              </w:rPr>
              <w:t xml:space="preserve"/>
            </w:r>
          </w:p>
        </w:tc>
        <w:tc>
          <w:tcPr>
            <w:tcW w:type="dxa" w:w="120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pPr>
              <w:jc w:val="right"/>
            </w:pPr>
            <w:r>
              <w:rPr>
                <w:rFonts w:ascii="Calibri" w:cs="Calibri" w:eastAsia="Calibri" w:hAnsi="Calibri"/>
                <w:b/>
                <w:bCs/>
                <w:sz w:val="18"/>
                <w:szCs w:val="18"/>
              </w:rPr>
              <w:t xml:space="preserve"/>
            </w:r>
          </w:p>
        </w:tc>
        <w:tc>
          <w:tcPr>
            <w:tcW w:type="dxa" w:w="135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pPr>
              <w:jc w:val="right"/>
            </w:pPr>
            <w:r>
              <w:rPr>
                <w:rFonts w:ascii="Calibri" w:cs="Calibri" w:eastAsia="Calibri" w:hAnsi="Calibri"/>
                <w:b/>
                <w:bCs/>
                <w:sz w:val="18"/>
                <w:szCs w:val="18"/>
              </w:rPr>
              <w:t xml:space="preserve">11.57</w:t>
            </w:r>
          </w:p>
        </w:tc>
        <w:tc>
          <w:tcPr>
            <w:tcW w:type="dxa" w:w="125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pPr>
              <w:jc w:val="right"/>
            </w:pPr>
            <w:r>
              <w:rPr>
                <w:rFonts w:ascii="Calibri" w:cs="Calibri" w:eastAsia="Calibri" w:hAnsi="Calibri"/>
                <w:b/>
                <w:bCs/>
                <w:sz w:val="18"/>
                <w:szCs w:val="18"/>
              </w:rPr>
              <w:t xml:space="preserve"/>
            </w:r>
          </w:p>
        </w:tc>
        <w:tc>
          <w:tcPr>
            <w:tcW w:type="dxa" w:w="135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pPr>
              <w:jc w:val="right"/>
            </w:pPr>
            <w:r>
              <w:rPr>
                <w:rFonts w:ascii="Calibri" w:cs="Calibri" w:eastAsia="Calibri" w:hAnsi="Calibri"/>
                <w:b/>
                <w:bCs/>
                <w:sz w:val="18"/>
                <w:szCs w:val="18"/>
              </w:rPr>
              <w:t xml:space="preserve">4.76M</w:t>
            </w:r>
          </w:p>
        </w:tc>
        <w:tc>
          <w:tcPr>
            <w:tcW w:type="dxa" w:w="141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pPr>
              <w:jc w:val="right"/>
            </w:pPr>
            <w:r>
              <w:rPr>
                <w:rFonts w:ascii="Calibri" w:cs="Calibri" w:eastAsia="Calibri" w:hAnsi="Calibri"/>
                <w:b/>
                <w:bCs/>
                <w:sz w:val="18"/>
                <w:szCs w:val="18"/>
              </w:rPr>
              <w:t xml:space="preserve">$0.90M</w:t>
            </w:r>
          </w:p>
        </w:tc>
      </w:tr>
    </w:tbl>
    <w:p>
      <w:pPr>
        <w:spacing w:after="160"/>
      </w:pPr>
      <w:r>
        <w:rPr>
          <w:rFonts w:ascii="Calibri" w:cs="Calibri" w:eastAsia="Calibri" w:hAnsi="Calibri"/>
          <w:sz w:val="18"/>
          <w:szCs w:val="18"/>
        </w:rPr>
        <w:t xml:space="preserve">Gallons per ton = 2 × miles ÷ 6.2 mpg ÷ tons per load. For example, corn: 2 × 27.8 ÷ 6.2 ÷ 21.48 = 0.418 gal/ton.</w:t>
      </w:r>
    </w:p>
    <w:p>
      <w:pPr>
        <w:pStyle w:val="Heading1"/>
        <w:spacing w:after="100" w:before="240"/>
      </w:pPr>
      <w:r>
        <w:rPr>
          <w:rFonts w:ascii="Calibri" w:cs="Calibri" w:eastAsia="Calibri" w:hAnsi="Calibri"/>
        </w:rPr>
        <w:t xml:space="preserve">What it leaves out, and how much that matters</w:t>
      </w:r>
    </w:p>
    <w:p>
      <w:pPr>
        <w:pStyle w:val="ListParagraph"/>
        <w:numPr>
          <w:ilvl w:val="0"/>
          <w:numId w:val="2"/>
        </w:numPr>
        <w:spacing w:after="60"/>
      </w:pPr>
      <w:r>
        <w:rPr>
          <w:rFonts w:ascii="Calibri" w:cs="Calibri" w:eastAsia="Calibri" w:hAnsi="Calibri"/>
          <w:sz w:val="20"/>
          <w:szCs w:val="20"/>
        </w:rPr>
        <w:t xml:space="preserve">Not every truck will switch. Only 53% of heavy farm trucks fuel mainly from farm tanks (2021 VIUS). If only those switch, savings are about $0.5 million. The governor's order covers state penalties only; until the IRS grants relief, a truck caught with dyed fuel on a public road faces a federal penalty of $1,000 or $10 a gallon, whichever is greater.</w:t>
      </w:r>
    </w:p>
    <w:p>
      <w:pPr>
        <w:pStyle w:val="ListParagraph"/>
        <w:numPr>
          <w:ilvl w:val="0"/>
          <w:numId w:val="2"/>
        </w:numPr>
        <w:spacing w:after="60"/>
      </w:pPr>
      <w:r>
        <w:rPr>
          <w:rFonts w:ascii="Calibri" w:cs="Calibri" w:eastAsia="Calibri" w:hAnsi="Calibri"/>
          <w:sz w:val="20"/>
          <w:szCs w:val="20"/>
        </w:rPr>
        <w:t xml:space="preserve">Haul distance is the main uncertainty. With the survey's shortest ND trip (21.7 mi) savings are $0.7 million; with its 41.7-mile second-choice delivery point, $1.4 million.</w:t>
      </w:r>
    </w:p>
    <w:p>
      <w:pPr>
        <w:pStyle w:val="ListParagraph"/>
        <w:numPr>
          <w:ilvl w:val="0"/>
          <w:numId w:val="2"/>
        </w:numPr>
        <w:spacing w:after="60"/>
      </w:pPr>
      <w:r>
        <w:rPr>
          <w:rFonts w:ascii="Calibri" w:cs="Calibri" w:eastAsia="Calibri" w:hAnsi="Calibri"/>
          <w:sz w:val="20"/>
          <w:szCs w:val="20"/>
        </w:rPr>
        <w:t xml:space="preserve">Left out: sugarbeets, potatoes and other crops (mostly short hauls to piling sites and processors), on-farm field-to-bin trips, livestock and fertilizer hauling, and farm pickups. These would add to the total: the fuller model puts the excluded truck hauls (beets, field-to-bin, calves and fertilizer) at about 2.0 million gallons, roughly 40% more, before counting pickups.</w:t>
      </w:r>
    </w:p>
    <w:sectPr>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Calibri" w:cs="Calibri" w:eastAsia="Calibri" w:hAnsi="Calibri"/>
      <w:b/>
      <w:bCs/>
      <w:color w:val="1C5CAB"/>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2026-10-02T19:51:36.381Z</dcterms:created>
  <dcterms:modified xsi:type="dcterms:W3CDTF">2026-10-02T19:51:36.381Z</dcterms:modified>
</cp:coreProperties>
</file>

<file path=docProps/custom.xml><?xml version="1.0" encoding="utf-8"?>
<Properties xmlns="http://schemas.openxmlformats.org/officeDocument/2006/custom-properties" xmlns:vt="http://schemas.openxmlformats.org/officeDocument/2006/docPropsVTypes"/>
</file>