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pPr>
      <w:r>
        <w:rPr>
          <w:b/>
          <w:bCs/>
          <w:i w:val="false"/>
          <w:iCs w:val="false"/>
          <w:color w:val="7F7F7F"/>
          <w:sz w:val="17"/>
          <w:szCs w:val="17"/>
        </w:rPr>
        <w:t xml:space="preserve">HUMBOLDT RESEARCH FELLOWSHIP  ·  EXPERIENCED RESEARCHER LINE  ·  PROJECT P3</w:t>
      </w:r>
    </w:p>
    <w:p>
      <w:pPr>
        <w:spacing w:after="120" w:line="264"/>
      </w:pPr>
      <w:r>
        <w:rPr>
          <w:b/>
          <w:bCs/>
          <w:i w:val="false"/>
          <w:iCs w:val="false"/>
          <w:color w:val="000000"/>
          <w:sz w:val="32"/>
          <w:szCs w:val="32"/>
        </w:rPr>
        <w:t xml:space="preserve">Inherited or overwritten? Epigenetic recalibration of the survival safety factor, compared across a fast invertebrate and a viviparous fish</w:t>
      </w:r>
    </w:p>
    <w:p>
      <w:pPr>
        <w:pBdr>
          <w:bottom w:val="single" w:color="2E75B6" w:sz="6" w:space="1"/>
        </w:pBdr>
        <w:spacing w:after="120"/>
      </w:pPr>
      <w:r>
        <w:rPr>
          <w:b w:val="false"/>
          <w:bCs w:val="false"/>
          <w:i w:val="false"/>
          <w:iCs w:val="false"/>
        </w:rPr>
        <w:t xml:space="preserve"/>
      </w:r>
    </w:p>
    <w:p>
      <w:pPr>
        <w:spacing w:after="20" w:line="240"/>
      </w:pPr>
      <w:r>
        <w:rPr>
          <w:b/>
          <w:bCs/>
          <w:i w:val="false"/>
          <w:iCs w:val="false"/>
          <w:sz w:val="20"/>
          <w:szCs w:val="20"/>
        </w:rPr>
        <w:t xml:space="preserve">Applicant:  </w:t>
      </w:r>
      <w:r>
        <w:rPr>
          <w:b w:val="false"/>
          <w:bCs w:val="false"/>
          <w:i w:val="false"/>
          <w:iCs w:val="false"/>
          <w:sz w:val="20"/>
          <w:szCs w:val="20"/>
        </w:rPr>
        <w:t xml:space="preserve">Matthew N. George, Ph.D.</w:t>
      </w:r>
    </w:p>
    <w:p>
      <w:pPr>
        <w:spacing w:after="20" w:line="240"/>
      </w:pPr>
      <w:r>
        <w:rPr>
          <w:b/>
          <w:bCs/>
          <w:i w:val="false"/>
          <w:iCs w:val="false"/>
          <w:sz w:val="20"/>
          <w:szCs w:val="20"/>
        </w:rPr>
        <w:t xml:space="preserve">Proposed host:  </w:t>
      </w:r>
      <w:r>
        <w:rPr>
          <w:b w:val="false"/>
          <w:bCs w:val="false"/>
          <w:i w:val="false"/>
          <w:iCs w:val="false"/>
          <w:sz w:val="20"/>
          <w:szCs w:val="20"/>
        </w:rPr>
        <w:t xml:space="preserve">Dr. Felix Christopher Mark, Integrative Ecophysiology, Alfred Wegener Institute (AWI), Bremerhaven</w:t>
      </w:r>
    </w:p>
    <w:p>
      <w:pPr>
        <w:spacing w:after="20" w:line="240"/>
      </w:pPr>
      <w:r>
        <w:rPr>
          <w:b/>
          <w:bCs/>
          <w:i w:val="false"/>
          <w:iCs w:val="false"/>
          <w:sz w:val="20"/>
          <w:szCs w:val="20"/>
        </w:rPr>
        <w:t xml:space="preserve">Collaborating partner:  </w:t>
      </w:r>
      <w:r>
        <w:rPr>
          <w:b w:val="false"/>
          <w:bCs w:val="false"/>
          <w:i w:val="false"/>
          <w:iCs w:val="false"/>
          <w:sz w:val="20"/>
          <w:szCs w:val="20"/>
        </w:rPr>
        <w:t xml:space="preserve">Dr. Paolo Domenici, CNR Institute of Biophysics, Italy</w:t>
      </w:r>
    </w:p>
    <w:p>
      <w:pPr>
        <w:spacing w:after="20" w:line="240"/>
      </w:pPr>
      <w:r>
        <w:rPr>
          <w:b/>
          <w:bCs/>
          <w:i w:val="false"/>
          <w:iCs w:val="false"/>
          <w:sz w:val="20"/>
          <w:szCs w:val="20"/>
        </w:rPr>
        <w:t xml:space="preserve">Status:  </w:t>
      </w:r>
      <w:r>
        <w:rPr>
          <w:b w:val="false"/>
          <w:bCs w:val="false"/>
          <w:i w:val="false"/>
          <w:iCs w:val="false"/>
          <w:sz w:val="20"/>
          <w:szCs w:val="20"/>
        </w:rPr>
        <w:t xml:space="preserve">Research outline skeleton (draft, June 2026)</w:t>
      </w:r>
    </w:p>
    <w:p>
      <w:pPr>
        <w:spacing w:after="160"/>
      </w:pPr>
      <w:r>
        <w:rPr>
          <w:b w:val="false"/>
          <w:bCs w:val="false"/>
          <w:i w:val="false"/>
          <w:iCs w:val="false"/>
        </w:rPr>
        <w:t xml:space="preserve"/>
      </w:r>
    </w:p>
    <w:p>
      <w:pPr>
        <w:pStyle w:val="Heading2"/>
      </w:pPr>
      <w:r>
        <w:rPr>
          <w:b w:val="false"/>
          <w:bCs w:val="false"/>
          <w:i w:val="false"/>
          <w:iCs w:val="false"/>
        </w:rPr>
        <w:t xml:space="preserve">The question and the gap</w:t>
      </w:r>
    </w:p>
    <w:p>
      <w:pPr>
        <w:spacing w:after="120" w:line="276"/>
        <w:jc w:val="left"/>
      </w:pPr>
      <w:r>
        <w:rPr>
          <w:b w:val="false"/>
          <w:bCs w:val="false"/>
          <w:i w:val="false"/>
          <w:iCs w:val="false"/>
        </w:rPr>
        <w:t xml:space="preserve">Can parental thermal experience plastically recalibrate the survival safety factor of offspring, is that recalibration carried by DNA methylation, and under environmental mismatch does an inherited mark persist and pre-set the offspring’s safety factor or does the offspring’s own environment overwrite it? The gap, beyond the unresolved persistence-versus-override question, is that nobody has asked whether transgenerational epigenetic recalibration of an acute-extreme safety factor is a general strategy or a taxon-specific one, because the existing multigenerational work sits almost entirely in fast invertebrates and almost never in a controlled vertebrate. Scoped here as a Humboldt proof-of-concept; the full multi-generational vertebrate programme is the intended Marie Curie continuation.</w:t>
      </w:r>
    </w:p>
    <w:p>
      <w:pPr>
        <w:pStyle w:val="Heading2"/>
      </w:pPr>
      <w:r>
        <w:rPr>
          <w:b w:val="false"/>
          <w:bCs w:val="false"/>
          <w:i w:val="false"/>
          <w:iCs w:val="false"/>
        </w:rPr>
        <w:t xml:space="preserve">Figure 1: conceptual model</w:t>
      </w:r>
    </w:p>
    <w:p>
      <w:pPr>
        <w:spacing w:after="120" w:line="276"/>
        <w:jc w:val="left"/>
      </w:pPr>
      <w:r>
        <w:rPr>
          <w:b w:val="false"/>
          <w:bCs w:val="false"/>
          <w:i w:val="false"/>
          <w:iCs w:val="false"/>
        </w:rPr>
        <w:t xml:space="preserve">A two-by-two factorial grid of parental environment (warm, cool) crossed with offspring environment (warm, cool), with the two off-diagonal cells highlighted as the mismatch treatments. In each cell, a bar shows the offspring’s resulting safety factor, and a small methylome track shows whether the inherited differentially methylated regions persist (off-diagonal cells resemble the parent) or are overwritten (off-diagonal cells resemble the offspring environment). A second panel places the fast copepod and the viviparous eelpout side by side, posing the cross-taxon question: the same logic with different machinery, gene-body methylation in the invertebrate and direct maternal-embryo contact in the viviparous fish.</w:t>
      </w:r>
    </w:p>
    <w:p>
      <w:pPr>
        <w:pStyle w:val="Heading2"/>
      </w:pPr>
      <w:r>
        <w:rPr>
          <w:b w:val="false"/>
          <w:bCs w:val="false"/>
          <w:i w:val="false"/>
          <w:iCs w:val="false"/>
        </w:rPr>
        <w:t xml:space="preserve">Central discriminating prediction</w:t>
      </w:r>
    </w:p>
    <w:p>
      <w:pPr>
        <w:spacing w:after="120" w:line="276"/>
        <w:jc w:val="left"/>
      </w:pPr>
      <w:r>
        <w:rPr>
          <w:b w:val="false"/>
          <w:bCs w:val="false"/>
          <w:i w:val="false"/>
          <w:iCs w:val="false"/>
        </w:rPr>
        <w:t xml:space="preserve">If epigenetic priming is adaptive anticipation, matched parent-offspring environments will yield higher safety factors than mismatched ones, a signature of anticipatory maternal effects, and inherited differentially methylated regions will localize to safety-factor genes (heat-shock proteins, mitochondrial, membrane). If inheritance is developmental carryover rather than anticipation, the inherited mark will be neutral or maladaptive under mismatch regardless of match quality. The cross-taxon discriminator: if recalibration is general, both the copepod and the viviparous fish will show inherited methylation marks that move the safety factor; if it is taxon-specific, only the system with direct maternal-embryo contact will.</w:t>
      </w:r>
    </w:p>
    <w:p>
      <w:pPr>
        <w:pStyle w:val="Heading2"/>
      </w:pPr>
      <w:r>
        <w:rPr>
          <w:b w:val="false"/>
          <w:bCs w:val="false"/>
          <w:i w:val="false"/>
          <w:iCs w:val="false"/>
        </w:rPr>
        <w:t xml:space="preserve">Study system and AWI fit</w:t>
      </w:r>
    </w:p>
    <w:p>
      <w:pPr>
        <w:spacing w:after="120" w:line="276"/>
        <w:jc w:val="left"/>
      </w:pPr>
      <w:r>
        <w:rPr>
          <w:b w:val="false"/>
          <w:bCs w:val="false"/>
          <w:i w:val="false"/>
          <w:iCs w:val="false"/>
        </w:rPr>
        <w:t xml:space="preserve">True multigenerational data in a fish is not achievable in an 18-month window, so the design is deliberately split. The fast-invertebrate arm (</w:t>
      </w:r>
      <w:r>
        <w:rPr>
          <w:b w:val="false"/>
          <w:bCs w:val="false"/>
          <w:i/>
          <w:iCs/>
        </w:rPr>
        <w:t xml:space="preserve">Acartia tonsa</w:t>
      </w:r>
      <w:r>
        <w:rPr>
          <w:b w:val="false"/>
          <w:bCs w:val="false"/>
          <w:i w:val="false"/>
          <w:iCs w:val="false"/>
        </w:rPr>
        <w:t xml:space="preserve">, or </w:t>
      </w:r>
      <w:r>
        <w:rPr>
          <w:b w:val="false"/>
          <w:bCs w:val="false"/>
          <w:i/>
          <w:iCs/>
        </w:rPr>
        <w:t xml:space="preserve">Tigriopus californicus</w:t>
      </w:r>
      <w:r>
        <w:rPr>
          <w:b w:val="false"/>
          <w:bCs w:val="false"/>
          <w:i w:val="false"/>
          <w:iCs w:val="false"/>
        </w:rPr>
        <w:t xml:space="preserve"> to differentiate by distance from the Kiel group) cycles many generations in months and delivers the true persistence-versus-override test at the second filial generation and beyond. The vertebrate arm uses the viviparous temperate eelpout </w:t>
      </w:r>
      <w:r>
        <w:rPr>
          <w:b w:val="false"/>
          <w:bCs w:val="false"/>
          <w:i/>
          <w:iCs/>
        </w:rPr>
        <w:t xml:space="preserve">Zoarces viviparus</w:t>
      </w:r>
      <w:r>
        <w:rPr>
          <w:b w:val="false"/>
          <w:bCs w:val="false"/>
          <w:i w:val="false"/>
          <w:iCs w:val="false"/>
        </w:rPr>
        <w:t xml:space="preserve">, whose internal brooding makes the mother’s thermal environment a clean, single-cycle intergenerational treatment on the embryo, with no egg-handling confound and a direct match to AWI’s emphasis on critical life phases; this is achievable in one reproductive cycle and is rich in physiology and amenable to NMR. The full multi-generational vertebrate replication is the explicit Marie Curie continuation. Facilities: whole-genome bisulfite sequencing and Tag-Seq via my pipeline with Lars Harms; eelpout husbandry and NMR at Bremerhaven; optional collaboration with Reid Brennan at GEOMAR Kiel for the copepod, weighed against the proximity risk.</w:t>
      </w:r>
    </w:p>
    <w:p>
      <w:pPr>
        <w:pStyle w:val="Heading2"/>
      </w:pPr>
      <w:r>
        <w:rPr>
          <w:b w:val="false"/>
          <w:bCs w:val="false"/>
          <w:i w:val="false"/>
          <w:iCs w:val="false"/>
        </w:rPr>
        <w:t xml:space="preserve">Methods</w:t>
      </w:r>
    </w:p>
    <w:p>
      <w:pPr>
        <w:spacing w:after="120" w:line="276"/>
        <w:jc w:val="left"/>
      </w:pPr>
      <w:r>
        <w:rPr>
          <w:b/>
          <w:bCs/>
          <w:i w:val="false"/>
          <w:iCs w:val="false"/>
        </w:rPr>
        <w:t xml:space="preserve">Phenotype (the safety factor). </w:t>
      </w:r>
      <w:r>
        <w:rPr>
          <w:b w:val="false"/>
          <w:bCs w:val="false"/>
          <w:i w:val="false"/>
          <w:iCs w:val="false"/>
        </w:rPr>
        <w:t xml:space="preserve">The factorial parent-by-offspring thermal design with mismatch cells, scoring the safety factor each generation as critical thermal maximum plus acute-heatwave survival, plus a recovery arm in the copepod to measure how many generations a warm-induced mark persists once the stressor is removed.</w:t>
      </w:r>
    </w:p>
    <w:p>
      <w:pPr>
        <w:spacing w:after="120" w:line="276"/>
        <w:jc w:val="left"/>
      </w:pPr>
      <w:r>
        <w:rPr>
          <w:b/>
          <w:bCs/>
          <w:i w:val="false"/>
          <w:iCs w:val="false"/>
        </w:rPr>
        <w:t xml:space="preserve">Mechanism (methylome and transcriptome). </w:t>
      </w:r>
      <w:r>
        <w:rPr>
          <w:b w:val="false"/>
          <w:bCs w:val="false"/>
          <w:i w:val="false"/>
          <w:iCs w:val="false"/>
        </w:rPr>
        <w:t xml:space="preserve">Whole-genome bisulfite sequencing across treatments and, in the copepod, across generations, to map differentially methylated regions tracking parental versus offspring environment, test persistence versus override, and localize inherited marks to safety-factor genes; paired Tag-Seq to confirm the marks move expression; and an optional demethylation arm (5-azacytidine) in the copepod to push from correlation toward causation.</w:t>
      </w:r>
    </w:p>
    <w:p>
      <w:pPr>
        <w:pStyle w:val="Heading2"/>
      </w:pPr>
      <w:r>
        <w:rPr>
          <w:b w:val="false"/>
          <w:bCs w:val="false"/>
          <w:i w:val="false"/>
          <w:iCs w:val="false"/>
        </w:rPr>
        <w:t xml:space="preserve">Feasibility-scoped timeline (splittable, up to three blocks over three years)</w:t>
      </w:r>
    </w:p>
    <w:p>
      <w:pPr>
        <w:spacing w:after="120" w:line="276"/>
        <w:jc w:val="left"/>
      </w:pPr>
      <w:r>
        <w:rPr>
          <w:b w:val="false"/>
          <w:bCs w:val="false"/>
          <w:i w:val="false"/>
          <w:iCs w:val="false"/>
        </w:rPr>
        <w:t xml:space="preserve">Block 1 (months 1 to 6): establish copepod cultures and the eelpout maternal-exposure cohort; run the parental and first-filial copepod phenotyping. Block 2 (months 7 to 12): copepod second-filial and mismatch trials plus the eelpout brood readout; begin bisulfite sequencing. Block 3 (months 13 to 18): methylome and transcriptome integration and write-up. Splitting the fellowship across the eelpout reproductive cycle is what makes the vertebrate arm feasible.</w:t>
      </w:r>
    </w:p>
    <w:p>
      <w:pPr>
        <w:pStyle w:val="Heading2"/>
      </w:pPr>
      <w:r>
        <w:rPr>
          <w:b w:val="false"/>
          <w:bCs w:val="false"/>
          <w:i w:val="false"/>
          <w:iCs w:val="false"/>
        </w:rPr>
        <w:t xml:space="preserve">Key risk to pressure-test</w:t>
      </w:r>
    </w:p>
    <w:p>
      <w:pPr>
        <w:spacing w:after="120" w:line="276"/>
        <w:jc w:val="left"/>
      </w:pPr>
      <w:r>
        <w:rPr>
          <w:b w:val="false"/>
          <w:bCs w:val="false"/>
          <w:i w:val="false"/>
          <w:iCs w:val="false"/>
        </w:rPr>
        <w:t xml:space="preserve">Transgenerational epigenetic causation is hard: a differentially methylated region correlated with a phenotype is association, not cause, with maternal provisioning as a confound, so claims must be framed accordingly and lean on the demethylation arm. Invertebrate gene-body methylation differs functionally from vertebrate promoter methylation, which is why the cross-taxon comparison is a feature rather than a nuisance. And proximity to the Kiel copepod programme means the copepod arm must stay defined by the acute-extreme and mismatch framing that the existing work does not address.</w:t>
      </w:r>
    </w:p>
    <w:p>
      <w:pPr>
        <w:pStyle w:val="Heading2"/>
      </w:pPr>
      <w:r>
        <w:rPr>
          <w:b w:val="false"/>
          <w:bCs w:val="false"/>
          <w:i w:val="false"/>
          <w:iCs w:val="false"/>
        </w:rPr>
        <w:t xml:space="preserve">Fit statement (for the host statement and cover note)</w:t>
      </w:r>
    </w:p>
    <w:p>
      <w:pPr>
        <w:spacing w:after="120" w:line="276"/>
        <w:jc w:val="left"/>
      </w:pPr>
      <w:r>
        <w:rPr>
          <w:b w:val="false"/>
          <w:bCs w:val="false"/>
          <w:i/>
          <w:iCs/>
        </w:rPr>
        <w:t xml:space="preserve">This project brings whole-genome methylation analysis, a capability I have developed and that complements rather than duplicates the Mark group’s transcriptomic and physiological toolkit, to the question of whether the survival safety factor is epigenetically heritable, comparing a fast invertebrate with AWI’s viviparous eelpout system. Scoped here as a proof-of-concept within the fellowship, it establishes the foundation for the multi-generational vertebrate programme I intend to pursue as a subsequent Marie Curie Postdoctoral Fellowship.</w:t>
      </w:r>
    </w:p>
    <w:p>
      <w:pPr>
        <w:pStyle w:val="Heading2"/>
      </w:pPr>
      <w:r>
        <w:rPr>
          <w:b w:val="false"/>
          <w:bCs w:val="false"/>
          <w:i w:val="false"/>
          <w:iCs w:val="false"/>
        </w:rPr>
        <w:t xml:space="preserve">Primary reading</w:t>
      </w:r>
    </w:p>
    <w:p>
      <w:pPr>
        <w:pStyle w:val="ListParagraph"/>
        <w:numPr>
          <w:ilvl w:val="0"/>
          <w:numId w:val="2"/>
        </w:numPr>
        <w:spacing w:after="60" w:line="264"/>
      </w:pPr>
      <w:r>
        <w:rPr>
          <w:b w:val="false"/>
          <w:bCs w:val="false"/>
          <w:i w:val="false"/>
          <w:iCs w:val="false"/>
          <w:sz w:val="21"/>
          <w:szCs w:val="21"/>
        </w:rPr>
        <w:t xml:space="preserve">Ryu, T., Veilleux, H. D., Donelson, J. M., Munday, P. L., &amp; Ravasi, T. (2018). The epigenetic landscape of transgenerational acclimation to ocean warming. Nature Climate Change 8, 504-509.</w:t>
      </w:r>
    </w:p>
    <w:p>
      <w:pPr>
        <w:pStyle w:val="ListParagraph"/>
        <w:numPr>
          <w:ilvl w:val="0"/>
          <w:numId w:val="2"/>
        </w:numPr>
        <w:spacing w:after="60" w:line="264"/>
      </w:pPr>
      <w:r>
        <w:rPr>
          <w:b w:val="false"/>
          <w:bCs w:val="false"/>
          <w:i w:val="false"/>
          <w:iCs w:val="false"/>
          <w:sz w:val="21"/>
          <w:szCs w:val="21"/>
        </w:rPr>
        <w:t xml:space="preserve">Donelson, J. M., Salinas, S., Munday, P. L., &amp; Shama, L. N. S. (2018). Transgenerational plasticity and climate change experiments: where do we go from here? Global Change Biology 24, 13-34.</w:t>
      </w:r>
    </w:p>
    <w:p>
      <w:pPr>
        <w:pStyle w:val="ListParagraph"/>
        <w:numPr>
          <w:ilvl w:val="0"/>
          <w:numId w:val="2"/>
        </w:numPr>
        <w:spacing w:after="60" w:line="264"/>
      </w:pPr>
      <w:r>
        <w:rPr>
          <w:b w:val="false"/>
          <w:bCs w:val="false"/>
          <w:i w:val="false"/>
          <w:iCs w:val="false"/>
          <w:sz w:val="21"/>
          <w:szCs w:val="21"/>
        </w:rPr>
        <w:t xml:space="preserve">Multigenerational temperature effects on paternal epigenetic inheritance in European sea bass (2025). Epigenetics &amp; Chromatin 18.  [Pair with Mazurais, Mark et al. 2023 on transgenerational ocean acidification in sea bass, for institutional continuity.]</w:t>
      </w:r>
    </w:p>
    <w:p>
      <w:pPr>
        <w:pStyle w:val="ListParagraph"/>
        <w:numPr>
          <w:ilvl w:val="0"/>
          <w:numId w:val="2"/>
        </w:numPr>
        <w:spacing w:after="60" w:line="264"/>
      </w:pPr>
      <w:r>
        <w:rPr>
          <w:b w:val="false"/>
          <w:bCs w:val="false"/>
          <w:i w:val="false"/>
          <w:iCs w:val="false"/>
          <w:sz w:val="21"/>
          <w:szCs w:val="21"/>
        </w:rPr>
        <w:t xml:space="preserve">deMayo, J. A., Brennan, R. S., Pespeni, M. H., et al. (2025). Complementary genetic and epigenetic changes facilitate rapid adaptation to multiple global change stressors. PNAS 122, e2422782122.  [The copepod precedent to differentiate from.]</w:t>
      </w:r>
    </w:p>
    <w:p>
      <w:pPr>
        <w:pStyle w:val="ListParagraph"/>
        <w:numPr>
          <w:ilvl w:val="0"/>
          <w:numId w:val="2"/>
        </w:numPr>
        <w:spacing w:after="60" w:line="264"/>
      </w:pPr>
      <w:r>
        <w:rPr>
          <w:b w:val="false"/>
          <w:bCs w:val="false"/>
          <w:i w:val="false"/>
          <w:iCs w:val="false"/>
          <w:sz w:val="21"/>
          <w:szCs w:val="21"/>
        </w:rPr>
        <w:t xml:space="preserve">Dam, H. G., et al. (2021). Rapid, but limited, zooplankton adaptation to simultaneous warming and acidification. Nature Climate Change 11, 780-786.</w:t>
      </w:r>
    </w:p>
    <w:p>
      <w:pPr>
        <w:pStyle w:val="ListParagraph"/>
        <w:numPr>
          <w:ilvl w:val="0"/>
          <w:numId w:val="2"/>
        </w:numPr>
        <w:spacing w:after="60" w:line="264"/>
      </w:pPr>
      <w:r>
        <w:rPr>
          <w:b w:val="false"/>
          <w:bCs w:val="false"/>
          <w:i w:val="false"/>
          <w:iCs w:val="false"/>
          <w:sz w:val="21"/>
          <w:szCs w:val="21"/>
        </w:rPr>
        <w:t xml:space="preserve">Venney, C. J., and the brook charr and brown trout salmonid methylation studies on parental-versus-offspring override (2022-2025).</w:t>
      </w:r>
    </w:p>
    <w:p>
      <w:pPr>
        <w:pStyle w:val="ListParagraph"/>
        <w:numPr>
          <w:ilvl w:val="0"/>
          <w:numId w:val="2"/>
        </w:numPr>
        <w:spacing w:after="60" w:line="264"/>
      </w:pPr>
      <w:r>
        <w:rPr>
          <w:b w:val="false"/>
          <w:bCs w:val="false"/>
          <w:i w:val="false"/>
          <w:iCs w:val="false"/>
          <w:sz w:val="21"/>
          <w:szCs w:val="21"/>
        </w:rPr>
        <w:t xml:space="preserve">Eirin-Lopez, J. M., &amp; Putnam, H. M. (2019). Marine environmental epigenetics. Annual Review of Marine Science 11, 335-368.  [The invertebrate methylation caveats.]</w:t>
      </w:r>
    </w:p>
    <w:p>
      <w:pPr>
        <w:pStyle w:val="ListParagraph"/>
        <w:numPr>
          <w:ilvl w:val="0"/>
          <w:numId w:val="2"/>
        </w:numPr>
        <w:spacing w:after="60" w:line="264"/>
      </w:pPr>
      <w:r>
        <w:rPr>
          <w:b w:val="false"/>
          <w:bCs w:val="false"/>
          <w:i w:val="false"/>
          <w:iCs w:val="false"/>
          <w:sz w:val="21"/>
          <w:szCs w:val="21"/>
        </w:rPr>
        <w:t xml:space="preserve">Sun, Y., et al. (2023). Transgenerational effects of intertidal environment on physiological phenotypes and DNA methylation in Pacific oysters. Science of the Total Environment.  [Bridge from my own oyster system.]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tabs>
        <w:tab w:val="right" w:pos="9026"/>
      </w:tabs>
      <w:spacing w:before="60"/>
    </w:pPr>
    <w:r>
      <w:rPr>
        <w:b w:val="false"/>
        <w:bCs w:val="false"/>
        <w:i w:val="false"/>
        <w:iCs w:val="false"/>
        <w:color w:val="7F7F7F"/>
        <w:sz w:val="16"/>
        <w:szCs w:val="16"/>
      </w:rPr>
      <w:t xml:space="preserve">Matthew N. George  ·  Humboldt Research Fellowship  ·  P3</w:t>
    </w:r>
    <w:r>
      <w:rPr>
        <w:color w:val="7F7F7F"/>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00" w:before="24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Inherited or overwritten? Epigenetic recalibration of the survival safety factor, compared across a fast invertebrate and a viviparous fish</dc:title>
  <dc:creator>Matthew N. George</dc:creator>
  <cp:lastModifiedBy>Un-named</cp:lastModifiedBy>
  <cp:revision>1</cp:revision>
  <dcterms:created xsi:type="dcterms:W3CDTF">2026-06-30T02:02:45.851Z</dcterms:created>
  <dcterms:modified xsi:type="dcterms:W3CDTF">2026-06-30T02:02:45.851Z</dcterms:modified>
</cp:coreProperties>
</file>

<file path=docProps/custom.xml><?xml version="1.0" encoding="utf-8"?>
<Properties xmlns="http://schemas.openxmlformats.org/officeDocument/2006/custom-properties" xmlns:vt="http://schemas.openxmlformats.org/officeDocument/2006/docPropsVTypes"/>
</file>