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40"/>
      </w:pPr>
      <w:r>
        <w:rPr>
          <w:b/>
          <w:bCs/>
          <w:i w:val="false"/>
          <w:iCs w:val="false"/>
          <w:color w:val="7F7F7F"/>
          <w:sz w:val="17"/>
          <w:szCs w:val="17"/>
        </w:rPr>
        <w:t xml:space="preserve">HUMBOLDT RESEARCH FELLOWSHIP  ·  EXPERIENCED RESEARCHER LINE  ·  PROJECT P5</w:t>
      </w:r>
    </w:p>
    <w:p>
      <w:pPr>
        <w:spacing w:after="120" w:line="264"/>
      </w:pPr>
      <w:r>
        <w:rPr>
          <w:b/>
          <w:bCs/>
          <w:i w:val="false"/>
          <w:iCs w:val="false"/>
          <w:color w:val="000000"/>
          <w:sz w:val="32"/>
          <w:szCs w:val="32"/>
        </w:rPr>
        <w:t xml:space="preserve">Spending the margin: acclimation breadth as a function of thermal safety-margin size, and its regulatory basis</w:t>
      </w:r>
    </w:p>
    <w:p>
      <w:pPr>
        <w:pBdr>
          <w:bottom w:val="single" w:color="2E75B6" w:sz="6" w:space="1"/>
        </w:pBdr>
        <w:spacing w:after="120"/>
      </w:pPr>
      <w:r>
        <w:rPr>
          <w:b w:val="false"/>
          <w:bCs w:val="false"/>
          <w:i w:val="false"/>
          <w:iCs w:val="false"/>
        </w:rPr>
        <w:t xml:space="preserve"/>
      </w:r>
    </w:p>
    <w:p>
      <w:pPr>
        <w:spacing w:after="20" w:line="240"/>
      </w:pPr>
      <w:r>
        <w:rPr>
          <w:b/>
          <w:bCs/>
          <w:i w:val="false"/>
          <w:iCs w:val="false"/>
          <w:sz w:val="20"/>
          <w:szCs w:val="20"/>
        </w:rPr>
        <w:t xml:space="preserve">Applicant:  </w:t>
      </w:r>
      <w:r>
        <w:rPr>
          <w:b w:val="false"/>
          <w:bCs w:val="false"/>
          <w:i w:val="false"/>
          <w:iCs w:val="false"/>
          <w:sz w:val="20"/>
          <w:szCs w:val="20"/>
        </w:rPr>
        <w:t xml:space="preserve">Matthew N. George, Ph.D.</w:t>
      </w:r>
    </w:p>
    <w:p>
      <w:pPr>
        <w:spacing w:after="20" w:line="240"/>
      </w:pPr>
      <w:r>
        <w:rPr>
          <w:b/>
          <w:bCs/>
          <w:i w:val="false"/>
          <w:iCs w:val="false"/>
          <w:sz w:val="20"/>
          <w:szCs w:val="20"/>
        </w:rPr>
        <w:t xml:space="preserve">Proposed host:  </w:t>
      </w:r>
      <w:r>
        <w:rPr>
          <w:b w:val="false"/>
          <w:bCs w:val="false"/>
          <w:i w:val="false"/>
          <w:iCs w:val="false"/>
          <w:sz w:val="20"/>
          <w:szCs w:val="20"/>
        </w:rPr>
        <w:t xml:space="preserve">Dr. Felix Christopher Mark, Integrative Ecophysiology, Alfred Wegener Institute (AWI), Bremerhaven</w:t>
      </w:r>
    </w:p>
    <w:p>
      <w:pPr>
        <w:spacing w:after="20" w:line="240"/>
      </w:pPr>
      <w:r>
        <w:rPr>
          <w:b/>
          <w:bCs/>
          <w:i w:val="false"/>
          <w:iCs w:val="false"/>
          <w:sz w:val="20"/>
          <w:szCs w:val="20"/>
        </w:rPr>
        <w:t xml:space="preserve">Collaborating partner:  </w:t>
      </w:r>
      <w:r>
        <w:rPr>
          <w:b w:val="false"/>
          <w:bCs w:val="false"/>
          <w:i w:val="false"/>
          <w:iCs w:val="false"/>
          <w:sz w:val="20"/>
          <w:szCs w:val="20"/>
        </w:rPr>
        <w:t xml:space="preserve">Dr. Paolo Domenici, CNR Institute of Biophysics, Italy</w:t>
      </w:r>
    </w:p>
    <w:p>
      <w:pPr>
        <w:spacing w:after="20" w:line="240"/>
      </w:pPr>
      <w:r>
        <w:rPr>
          <w:b/>
          <w:bCs/>
          <w:i w:val="false"/>
          <w:iCs w:val="false"/>
          <w:sz w:val="20"/>
          <w:szCs w:val="20"/>
        </w:rPr>
        <w:t xml:space="preserve">Status:  </w:t>
      </w:r>
      <w:r>
        <w:rPr>
          <w:b w:val="false"/>
          <w:bCs w:val="false"/>
          <w:i w:val="false"/>
          <w:iCs w:val="false"/>
          <w:sz w:val="20"/>
          <w:szCs w:val="20"/>
        </w:rPr>
        <w:t xml:space="preserve">Research outline skeleton (draft, June 2026)</w:t>
      </w:r>
    </w:p>
    <w:p>
      <w:pPr>
        <w:spacing w:after="160"/>
      </w:pPr>
      <w:r>
        <w:rPr>
          <w:b w:val="false"/>
          <w:bCs w:val="false"/>
          <w:i w:val="false"/>
          <w:iCs w:val="false"/>
        </w:rPr>
        <w:t xml:space="preserve"/>
      </w:r>
    </w:p>
    <w:p>
      <w:pPr>
        <w:pStyle w:val="Heading2"/>
      </w:pPr>
      <w:r>
        <w:rPr>
          <w:b w:val="false"/>
          <w:bCs w:val="false"/>
          <w:i w:val="false"/>
          <w:iCs w:val="false"/>
        </w:rPr>
        <w:t xml:space="preserve">The question and the gap</w:t>
      </w:r>
    </w:p>
    <w:p>
      <w:pPr>
        <w:spacing w:after="120" w:line="276"/>
        <w:jc w:val="left"/>
      </w:pPr>
      <w:r>
        <w:rPr>
          <w:b w:val="false"/>
          <w:bCs w:val="false"/>
          <w:i w:val="false"/>
          <w:iCs w:val="false"/>
        </w:rPr>
        <w:t xml:space="preserve">Does the breadth of phenotypic plasticity scale with the size of the thermal safety margin, so that organisms nearest their limits have the least room to acclimate, and is that trade-off written into the inducible architecture of the transcriptome? The gap is that the field is split: one tradition holds that basal tolerance is bought at the cost of plasticity (alarming, because the most exposed are then least able to adjust), another holds that plasticity broadly rescues ectotherms (reassuring), and almost nobody has resolved the functional form with a mechanism.</w:t>
      </w:r>
    </w:p>
    <w:p>
      <w:pPr>
        <w:pStyle w:val="Heading2"/>
      </w:pPr>
      <w:r>
        <w:rPr>
          <w:b w:val="false"/>
          <w:bCs w:val="false"/>
          <w:i w:val="false"/>
          <w:iCs w:val="false"/>
        </w:rPr>
        <w:t xml:space="preserve">Figure 1: conceptual model</w:t>
      </w:r>
    </w:p>
    <w:p>
      <w:pPr>
        <w:spacing w:after="120" w:line="276"/>
        <w:jc w:val="left"/>
      </w:pPr>
      <w:r>
        <w:rPr>
          <w:b w:val="false"/>
          <w:bCs w:val="false"/>
          <w:i w:val="false"/>
          <w:iCs w:val="false"/>
        </w:rPr>
        <w:t xml:space="preserve">A horizontal axis of safety-margin size (small to large) and a vertical axis of acclimation breadth (the temperature span over which the limit can shift). Plot the competing hypotheses as competing lines: a positive slope (trade-off; small margin co-occurs with high basal tolerance and exhausted plasticity, the Stillman pattern) versus a flat line (independence; the plasticity-rescues view). Beneath each organism, a small transcriptome icon shows the predicted regulatory state: small-margin organisms have a compressed reaction norm (high constitutive commitment, little inducible reach, frontloaded), large-margin organisms a wide one. The figure’s claim is that the slope of the margin-versus-plasticity relationship is legible in the breadth of the transcriptomic reaction norm.</w:t>
      </w:r>
    </w:p>
    <w:p>
      <w:pPr>
        <w:pStyle w:val="Heading2"/>
      </w:pPr>
      <w:r>
        <w:rPr>
          <w:b w:val="false"/>
          <w:bCs w:val="false"/>
          <w:i w:val="false"/>
          <w:iCs w:val="false"/>
        </w:rPr>
        <w:t xml:space="preserve">Central discriminating prediction</w:t>
      </w:r>
    </w:p>
    <w:p>
      <w:pPr>
        <w:spacing w:after="120" w:line="276"/>
        <w:jc w:val="left"/>
      </w:pPr>
      <w:r>
        <w:rPr>
          <w:b w:val="false"/>
          <w:bCs w:val="false"/>
          <w:i w:val="false"/>
          <w:iCs w:val="false"/>
        </w:rPr>
        <w:t xml:space="preserve">If plasticity is drawn from the same budget as the margin, acclimation breadth will increase with margin size and decrease with basal tolerance, and the small-margin taxa will show measurably compressed transcriptomic reaction norms (low inducibility, high baseline commitment); if plasticity is independent of margin, reaction-norm breadth will not track margin size. The discriminating observation is the coupling itself: a positive margin-to-plasticity slope mirrored at the regulatory level falsifies the independence view and quantifies how much a safety-margin map overstates resilience wherever margins are small.</w:t>
      </w:r>
    </w:p>
    <w:p>
      <w:pPr>
        <w:pStyle w:val="Heading2"/>
      </w:pPr>
      <w:r>
        <w:rPr>
          <w:b w:val="false"/>
          <w:bCs w:val="false"/>
          <w:i w:val="false"/>
          <w:iCs w:val="false"/>
        </w:rPr>
        <w:t xml:space="preserve">Study system and AWI fit</w:t>
      </w:r>
    </w:p>
    <w:p>
      <w:pPr>
        <w:spacing w:after="120" w:line="276"/>
        <w:jc w:val="left"/>
      </w:pPr>
      <w:r>
        <w:rPr>
          <w:b w:val="false"/>
          <w:bCs w:val="false"/>
          <w:i w:val="false"/>
          <w:iCs w:val="false"/>
        </w:rPr>
        <w:t xml:space="preserve">The cleanest margin gradient comes from intertidal vertical zonation within one species, which holds phylogeny constant while spanning a steep margin range over metres of shore: </w:t>
      </w:r>
      <w:r>
        <w:rPr>
          <w:b w:val="false"/>
          <w:bCs w:val="false"/>
          <w:i/>
          <w:iCs/>
        </w:rPr>
        <w:t xml:space="preserve">Mytilus edulis</w:t>
      </w:r>
      <w:r>
        <w:rPr>
          <w:b w:val="false"/>
          <w:bCs w:val="false"/>
          <w:i w:val="false"/>
          <w:iCs w:val="false"/>
        </w:rPr>
        <w:t xml:space="preserve"> or a </w:t>
      </w:r>
      <w:r>
        <w:rPr>
          <w:b w:val="false"/>
          <w:bCs w:val="false"/>
          <w:i/>
          <w:iCs/>
        </w:rPr>
        <w:t xml:space="preserve">Littorina</w:t>
      </w:r>
      <w:r>
        <w:rPr>
          <w:b w:val="false"/>
          <w:bCs w:val="false"/>
          <w:i w:val="false"/>
          <w:iCs w:val="false"/>
        </w:rPr>
        <w:t xml:space="preserve"> species across shore height, my own wheelhouse and North Sea accessible, is the recommended core. The alternative, to foreground the host’s physiology and the NMR, is the confamilial eelpout pair from P1 (polar </w:t>
      </w:r>
      <w:r>
        <w:rPr>
          <w:b w:val="false"/>
          <w:bCs w:val="false"/>
          <w:i/>
          <w:iCs/>
        </w:rPr>
        <w:t xml:space="preserve">Pachycara brachycephalum</w:t>
      </w:r>
      <w:r>
        <w:rPr>
          <w:b w:val="false"/>
          <w:bCs w:val="false"/>
          <w:i w:val="false"/>
          <w:iCs w:val="false"/>
        </w:rPr>
        <w:t xml:space="preserve"> versus temperate </w:t>
      </w:r>
      <w:r>
        <w:rPr>
          <w:b w:val="false"/>
          <w:bCs w:val="false"/>
          <w:i/>
          <w:iCs/>
        </w:rPr>
        <w:t xml:space="preserve">Zoarces viviparus</w:t>
      </w:r>
      <w:r>
        <w:rPr>
          <w:b w:val="false"/>
          <w:bCs w:val="false"/>
          <w:i w:val="false"/>
          <w:iCs w:val="false"/>
        </w:rPr>
        <w:t xml:space="preserve">) treated as two points on the margin axis, with cardiac acclimation breadth read by NMR. The zonation cline is cleaner statistically; the fish pair is richer physiologically.</w:t>
      </w:r>
    </w:p>
    <w:p>
      <w:pPr>
        <w:pStyle w:val="Heading2"/>
      </w:pPr>
      <w:r>
        <w:rPr>
          <w:b w:val="false"/>
          <w:bCs w:val="false"/>
          <w:i w:val="false"/>
          <w:iCs w:val="false"/>
        </w:rPr>
        <w:t xml:space="preserve">Methods</w:t>
      </w:r>
    </w:p>
    <w:p>
      <w:pPr>
        <w:spacing w:after="120" w:line="276"/>
        <w:jc w:val="left"/>
      </w:pPr>
      <w:r>
        <w:rPr>
          <w:b/>
          <w:bCs/>
          <w:i w:val="false"/>
          <w:iCs w:val="false"/>
        </w:rPr>
        <w:t xml:space="preserve">Phenotyping (margin and plasticity). </w:t>
      </w:r>
      <w:r>
        <w:rPr>
          <w:b w:val="false"/>
          <w:bCs w:val="false"/>
          <w:i w:val="false"/>
          <w:iCs w:val="false"/>
        </w:rPr>
        <w:t xml:space="preserve">Full acclimation reaction norms per population or species (critical thermal maximum plus a sublethal cardiac or aerobic index, measured after acclimation to several temperatures) to quantify both the safety margin and the breadth of plasticity.</w:t>
      </w:r>
    </w:p>
    <w:p>
      <w:pPr>
        <w:spacing w:after="120" w:line="276"/>
        <w:jc w:val="left"/>
      </w:pPr>
      <w:r>
        <w:rPr>
          <w:b/>
          <w:bCs/>
          <w:i w:val="false"/>
          <w:iCs w:val="false"/>
        </w:rPr>
        <w:t xml:space="preserve">Genomics (regulatory mechanism). </w:t>
      </w:r>
      <w:r>
        <w:rPr>
          <w:b w:val="false"/>
          <w:bCs w:val="false"/>
          <w:i w:val="false"/>
          <w:iCs w:val="false"/>
        </w:rPr>
        <w:t xml:space="preserve">Transcriptomic reaction norms across the same acclimation temperatures, with weighted gene co-expression network analysis to identify the modules whose inducibility predicts plasticity breadth, and a frontloading analysis to test whether small-margin groups are constitutively committed. The deliverable is the empirical shape of the margin-versus-plasticity relationship plus its regulatory mechanism.</w:t>
      </w:r>
    </w:p>
    <w:p>
      <w:pPr>
        <w:pStyle w:val="Heading2"/>
      </w:pPr>
      <w:r>
        <w:rPr>
          <w:b w:val="false"/>
          <w:bCs w:val="false"/>
          <w:i w:val="false"/>
          <w:iCs w:val="false"/>
        </w:rPr>
        <w:t xml:space="preserve">Feasibility-scoped timeline (6 to 18 months)</w:t>
      </w:r>
    </w:p>
    <w:p>
      <w:pPr>
        <w:spacing w:after="120" w:line="276"/>
        <w:jc w:val="left"/>
      </w:pPr>
      <w:r>
        <w:rPr>
          <w:b w:val="false"/>
          <w:bCs w:val="false"/>
          <w:i w:val="false"/>
          <w:iCs w:val="false"/>
        </w:rPr>
        <w:t xml:space="preserve">Months 1 to 4: field collection across the gradient and the acclimation series, the rate-limiting step, with multiple acclimation temperatures run in parallel. Months 3 to 8: reaction-norm phenotyping. Months 5 to 12: sequencing and reaction-norm transcriptomics. Months 12 to 18: modelling the coupling and write-up. If the design is intraspecific, build in one F1 common-garden generation to separate genetic from plastic contribution, which lengthens the front end and should be budgeted explicitly.</w:t>
      </w:r>
    </w:p>
    <w:p>
      <w:pPr>
        <w:pStyle w:val="Heading2"/>
      </w:pPr>
      <w:r>
        <w:rPr>
          <w:b w:val="false"/>
          <w:bCs w:val="false"/>
          <w:i w:val="false"/>
          <w:iCs w:val="false"/>
        </w:rPr>
        <w:t xml:space="preserve">Key risk to pressure-test</w:t>
      </w:r>
    </w:p>
    <w:p>
      <w:pPr>
        <w:spacing w:after="120" w:line="276"/>
        <w:jc w:val="left"/>
      </w:pPr>
      <w:r>
        <w:rPr>
          <w:b w:val="false"/>
          <w:bCs w:val="false"/>
          <w:i w:val="false"/>
          <w:iCs w:val="false"/>
        </w:rPr>
        <w:t xml:space="preserve">Plasticity is multidimensional (rate, magnitude, reversibility), and the trade-off will smear unless the axis is fixed in advance; and among-population differences confound genetic and plastic causes without a common garden. Mitigation: commit to the plasticity axis and the common-garden depth before collecting, not after.</w:t>
      </w:r>
    </w:p>
    <w:p>
      <w:pPr>
        <w:pStyle w:val="Heading2"/>
      </w:pPr>
      <w:r>
        <w:rPr>
          <w:b w:val="false"/>
          <w:bCs w:val="false"/>
          <w:i w:val="false"/>
          <w:iCs w:val="false"/>
        </w:rPr>
        <w:t xml:space="preserve">Fit statement (for the host statement and cover note)</w:t>
      </w:r>
    </w:p>
    <w:p>
      <w:pPr>
        <w:spacing w:after="120" w:line="276"/>
        <w:jc w:val="left"/>
      </w:pPr>
      <w:r>
        <w:rPr>
          <w:b w:val="false"/>
          <w:bCs w:val="false"/>
          <w:i/>
          <w:iCs/>
        </w:rPr>
        <w:t xml:space="preserve">This project tests a twenty-year-old, still-unresolved question in thermal physiology, whether acclimation capacity trades off against the safety margin, by adding the regulatory mechanism that comparative tolerance studies have lacked, using my transcriptomic reaction-norm approach within the Mark group’s physiological framework. Resolving the functional form has direct consequences for how far thermal-margin maps can be trusted to forecast resilience, an aim aligned with AWI’s mission to link physiology to biogeographic change.</w:t>
      </w:r>
    </w:p>
    <w:p>
      <w:pPr>
        <w:pStyle w:val="Heading2"/>
      </w:pPr>
      <w:r>
        <w:rPr>
          <w:b w:val="false"/>
          <w:bCs w:val="false"/>
          <w:i w:val="false"/>
          <w:iCs w:val="false"/>
        </w:rPr>
        <w:t xml:space="preserve">Primary reading</w:t>
      </w:r>
    </w:p>
    <w:p>
      <w:pPr>
        <w:pStyle w:val="ListParagraph"/>
        <w:numPr>
          <w:ilvl w:val="0"/>
          <w:numId w:val="2"/>
        </w:numPr>
        <w:spacing w:after="60" w:line="264"/>
      </w:pPr>
      <w:r>
        <w:rPr>
          <w:b w:val="false"/>
          <w:bCs w:val="false"/>
          <w:i w:val="false"/>
          <w:iCs w:val="false"/>
          <w:sz w:val="21"/>
          <w:szCs w:val="21"/>
        </w:rPr>
        <w:t xml:space="preserve">Stillman, J. H. (2003). Acclimation capacity underlies susceptibility to climate change. Science 301, 65.</w:t>
      </w:r>
    </w:p>
    <w:p>
      <w:pPr>
        <w:pStyle w:val="ListParagraph"/>
        <w:numPr>
          <w:ilvl w:val="0"/>
          <w:numId w:val="2"/>
        </w:numPr>
        <w:spacing w:after="60" w:line="264"/>
      </w:pPr>
      <w:r>
        <w:rPr>
          <w:b w:val="false"/>
          <w:bCs w:val="false"/>
          <w:i w:val="false"/>
          <w:iCs w:val="false"/>
          <w:sz w:val="21"/>
          <w:szCs w:val="21"/>
        </w:rPr>
        <w:t xml:space="preserve">Gunderson, A. R., &amp; Stillman, J. H. (2015). Plasticity in thermal tolerance has limited potential to buffer ectotherms from global warming. Proceedings of the Royal Society B 282, 20150401.  [The meta-analysis.]</w:t>
      </w:r>
    </w:p>
    <w:p>
      <w:pPr>
        <w:pStyle w:val="ListParagraph"/>
        <w:numPr>
          <w:ilvl w:val="0"/>
          <w:numId w:val="2"/>
        </w:numPr>
        <w:spacing w:after="60" w:line="264"/>
      </w:pPr>
      <w:r>
        <w:rPr>
          <w:b w:val="false"/>
          <w:bCs w:val="false"/>
          <w:i w:val="false"/>
          <w:iCs w:val="false"/>
          <w:sz w:val="21"/>
          <w:szCs w:val="21"/>
        </w:rPr>
        <w:t xml:space="preserve">Seebacher, F., White, C. R., &amp; Franklin, C. E. (2015). Physiological plasticity increases resilience of ectothermic animals to climate change. Nature Climate Change 5, 61-66.  [The counter-case; design against it.]</w:t>
      </w:r>
    </w:p>
    <w:p>
      <w:pPr>
        <w:pStyle w:val="ListParagraph"/>
        <w:numPr>
          <w:ilvl w:val="0"/>
          <w:numId w:val="2"/>
        </w:numPr>
        <w:spacing w:after="60" w:line="264"/>
      </w:pPr>
      <w:r>
        <w:rPr>
          <w:b w:val="false"/>
          <w:bCs w:val="false"/>
          <w:i w:val="false"/>
          <w:iCs w:val="false"/>
          <w:sz w:val="21"/>
          <w:szCs w:val="21"/>
        </w:rPr>
        <w:t xml:space="preserve">Brennan, R. S., deMayo, J. A., Dam, H. G., Finiguerra, M., Baumann, H., &amp; Pespeni, M. H. (2022). Loss of transcriptional plasticity but sustained adaptive capacity after adaptation to global change conditions in a marine copepod. Nature Communications 13, 1147.  [The trade-off emerging in real time.]</w:t>
      </w:r>
    </w:p>
    <w:p>
      <w:pPr>
        <w:pStyle w:val="ListParagraph"/>
        <w:numPr>
          <w:ilvl w:val="0"/>
          <w:numId w:val="2"/>
        </w:numPr>
        <w:spacing w:after="60" w:line="264"/>
      </w:pPr>
      <w:r>
        <w:rPr>
          <w:b w:val="false"/>
          <w:bCs w:val="false"/>
          <w:i w:val="false"/>
          <w:iCs w:val="false"/>
          <w:sz w:val="21"/>
          <w:szCs w:val="21"/>
        </w:rPr>
        <w:t xml:space="preserve">Sasaki, M. C., &amp; Dam, H. G., and colleagues, on the emergence of a negative thermal-tolerance-versus-plasticity relationship during experimental evolution in Acartia tonsa.</w:t>
      </w:r>
    </w:p>
    <w:p>
      <w:pPr>
        <w:pStyle w:val="ListParagraph"/>
        <w:numPr>
          <w:ilvl w:val="0"/>
          <w:numId w:val="2"/>
        </w:numPr>
        <w:spacing w:after="60" w:line="264"/>
      </w:pPr>
      <w:r>
        <w:rPr>
          <w:b w:val="false"/>
          <w:bCs w:val="false"/>
          <w:i w:val="false"/>
          <w:iCs w:val="false"/>
          <w:sz w:val="21"/>
          <w:szCs w:val="21"/>
        </w:rPr>
        <w:t xml:space="preserve">Stillman, J. H., &amp; Somero, G. N. (2000), and Stillman, J. H. (2004). Comparative thermal limits and the cardiac and neural mechanisms in porcelain crabs (Petrolisthes).</w:t>
      </w:r>
    </w:p>
    <w:p>
      <w:pPr>
        <w:pStyle w:val="ListParagraph"/>
        <w:numPr>
          <w:ilvl w:val="0"/>
          <w:numId w:val="2"/>
        </w:numPr>
        <w:spacing w:after="60" w:line="264"/>
      </w:pPr>
      <w:r>
        <w:rPr>
          <w:b w:val="false"/>
          <w:bCs w:val="false"/>
          <w:i w:val="false"/>
          <w:iCs w:val="false"/>
          <w:sz w:val="21"/>
          <w:szCs w:val="21"/>
        </w:rPr>
        <w:t xml:space="preserve">Kingsolver, J. G., &amp; Huey, R. B. (2008). Size, temperature, and fitness: three rules. Evolutionary Ecology Research 10, 251-268.  [For reaction-norm geometry.]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6"/>
      </w:pBdr>
      <w:tabs>
        <w:tab w:val="right" w:pos="9026"/>
      </w:tabs>
      <w:spacing w:before="60"/>
    </w:pPr>
    <w:r>
      <w:rPr>
        <w:b w:val="false"/>
        <w:bCs w:val="false"/>
        <w:i w:val="false"/>
        <w:iCs w:val="false"/>
        <w:color w:val="7F7F7F"/>
        <w:sz w:val="16"/>
        <w:szCs w:val="16"/>
      </w:rPr>
      <w:t xml:space="preserve">Matthew N. George  ·  Humboldt Research Fellowship  ·  P5</w:t>
    </w:r>
    <w:r>
      <w:rPr>
        <w:color w:val="7F7F7F"/>
        <w:sz w:val="16"/>
        <w:szCs w:val="16"/>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keepNext/>
      <w:spacing w:after="100" w:before="240"/>
      <w:outlineLvl w:val="1"/>
    </w:pPr>
    <w:rPr>
      <w:rFonts w:ascii="Arial" w:cs="Arial" w:eastAsia="Arial" w:hAnsi="Arial"/>
      <w:b/>
      <w:bCs/>
      <w:color w:val="1F386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Spending the margin: acclimation breadth as a function of thermal safety-margin size, and its regulatory basis</dc:title>
  <dc:creator>Matthew N. George</dc:creator>
  <cp:lastModifiedBy>Un-named</cp:lastModifiedBy>
  <cp:revision>1</cp:revision>
  <dcterms:created xsi:type="dcterms:W3CDTF">2026-06-30T02:02:45.819Z</dcterms:created>
  <dcterms:modified xsi:type="dcterms:W3CDTF">2026-06-30T02:02:45.819Z</dcterms:modified>
</cp:coreProperties>
</file>

<file path=docProps/custom.xml><?xml version="1.0" encoding="utf-8"?>
<Properties xmlns="http://schemas.openxmlformats.org/officeDocument/2006/custom-properties" xmlns:vt="http://schemas.openxmlformats.org/officeDocument/2006/docPropsVTypes"/>
</file>