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19287" w14:textId="341CCAB5" w:rsidR="002A6E48" w:rsidRPr="00B92DAB" w:rsidRDefault="002A6E48">
      <w:r w:rsidRPr="00B92DAB">
        <w:t>Jensen's inequality predicts that temperature variability increases performance on the accelerating part of the curve and decreases it on the decelerating part, and nonlinear averaging of the constant-temperature curve quantitatively predicts both increased and decreased population growth under fluctuating regimes (Bernhardt et al. 2018).</w:t>
      </w:r>
      <w:r w:rsidRPr="00B92DAB">
        <w:br/>
      </w:r>
      <w:r w:rsidRPr="00B92DAB">
        <w:br/>
      </w:r>
      <w:r w:rsidRPr="00B92DAB">
        <w:t>Joey R. Bernhardt, Jennifer M. Sunday, Patrick L. Thompson, Mary I. O'Connor; Nonlinear averaging of thermal experience predicts population growth rates in a thermally variable environment. Proc Biol Sci 1 September 2018; 285 (1886): 20181076.</w:t>
      </w:r>
    </w:p>
    <w:p w14:paraId="1560FB73" w14:textId="77777777" w:rsidR="002A6E48" w:rsidRPr="00B92DAB" w:rsidRDefault="002A6E48"/>
    <w:p w14:paraId="70D1B26C" w14:textId="77777777" w:rsidR="00B92DAB" w:rsidRPr="00B92DAB" w:rsidRDefault="002A6E48">
      <w:proofErr w:type="spellStart"/>
      <w:r w:rsidRPr="00B92DAB">
        <w:t>Gouhier</w:t>
      </w:r>
      <w:proofErr w:type="spellEnd"/>
      <w:r w:rsidRPr="00B92DAB">
        <w:t xml:space="preserve"> TC and Pillai P (2019) Commentary: Nonlinear averaging of thermal experience predicts population growth rates in a thermally variable environment. Front. Ecol. Evol. 7:236. </w:t>
      </w:r>
      <w:proofErr w:type="spellStart"/>
      <w:r w:rsidRPr="00B92DAB">
        <w:t>doi</w:t>
      </w:r>
      <w:proofErr w:type="spellEnd"/>
      <w:r w:rsidRPr="00B92DAB">
        <w:t>: 10.3389/</w:t>
      </w:r>
      <w:proofErr w:type="spellStart"/>
      <w:r w:rsidRPr="00B92DAB">
        <w:t>fevo.2019.00236</w:t>
      </w:r>
      <w:proofErr w:type="spellEnd"/>
      <w:r w:rsidR="00B92DAB" w:rsidRPr="00B92DAB">
        <w:br/>
      </w:r>
      <w:r w:rsidR="00B92DAB" w:rsidRPr="00B92DAB">
        <w:br/>
      </w:r>
      <w:r w:rsidR="00B92DAB" w:rsidRPr="00B92DAB">
        <w:t>Climate-mediated changes in thermal stress can destabilize animal populations and promote extinction risk. However, risk assessments often focus on changes in mean temperatures and thus ignore the role of temporal variability or structure</w:t>
      </w:r>
      <w:r w:rsidR="00B92DAB" w:rsidRPr="00B92DAB">
        <w:t xml:space="preserve"> (Duffy et al. 2022)</w:t>
      </w:r>
      <w:r w:rsidR="00B92DAB" w:rsidRPr="00B92DAB">
        <w:br/>
      </w:r>
    </w:p>
    <w:p w14:paraId="7ACC45EF" w14:textId="6F5637B4" w:rsidR="00B92DAB" w:rsidRPr="00B92DAB" w:rsidRDefault="00B92DAB">
      <w:r w:rsidRPr="00B92DAB">
        <w:t>Duffy, K., Gouhier, T.C. &amp; Ganguly, A.R. Climate-mediated shifts in temperature fluctuations promote extinction risk. Nat. Clim. Chang. 12, 1037–1044 (2022). https://doi.org/10.1038/s41558-022-01490-7</w:t>
      </w:r>
    </w:p>
    <w:p w14:paraId="25BE3D04" w14:textId="37B6CC66" w:rsidR="002A6E48" w:rsidRPr="00B92DAB" w:rsidRDefault="002A6E48">
      <w:r w:rsidRPr="00B92DAB">
        <w:br/>
      </w:r>
      <w:r w:rsidRPr="00B92DAB">
        <w:br/>
      </w:r>
      <w:r w:rsidRPr="00B92DAB">
        <w:t xml:space="preserve">Thermally variable environments can lead to population growth rates over time that differ substantially from estimates based on the average temperature over the same </w:t>
      </w:r>
      <w:proofErr w:type="gramStart"/>
      <w:r w:rsidRPr="00B92DAB">
        <w:t>time period</w:t>
      </w:r>
      <w:proofErr w:type="gramEnd"/>
      <w:r w:rsidRPr="00B92DAB">
        <w:t>, a problem known as the ‘fallacy of the averages’ [3,4].</w:t>
      </w:r>
      <w:r w:rsidRPr="00B92DAB">
        <w:br/>
      </w:r>
      <w:r w:rsidRPr="00B92DAB">
        <w:br/>
      </w:r>
      <w:r w:rsidRPr="00B92DAB">
        <w:t>3 Gonzalez A, Holt RD. 2002 The inflationary effects of environmental fluctuations in source–sink systems. Proc. Nat. Acad. Sci. USA, 99, 14 872–14 877. (</w:t>
      </w:r>
      <w:proofErr w:type="spellStart"/>
      <w:r w:rsidRPr="00B92DAB">
        <w:t>doi:10.1073</w:t>
      </w:r>
      <w:proofErr w:type="spellEnd"/>
      <w:r w:rsidRPr="00B92DAB">
        <w:t>/</w:t>
      </w:r>
      <w:proofErr w:type="spellStart"/>
      <w:r w:rsidRPr="00B92DAB">
        <w:t>pnas.232589299</w:t>
      </w:r>
      <w:proofErr w:type="spellEnd"/>
      <w:r w:rsidRPr="00B92DAB">
        <w:t>)</w:t>
      </w:r>
      <w:r w:rsidRPr="00B92DAB">
        <w:br/>
      </w:r>
      <w:r w:rsidRPr="00B92DAB">
        <w:br/>
      </w:r>
      <w:r w:rsidRPr="00B92DAB">
        <w:t>4 Lawson CR, Vindenes Y, Bailey L, Pol M. 2015 Environmental variation and population responses to global change. Ecol. Lett., 18, 724–736. (</w:t>
      </w:r>
      <w:proofErr w:type="spellStart"/>
      <w:r w:rsidRPr="00B92DAB">
        <w:t>doi:10.1111</w:t>
      </w:r>
      <w:proofErr w:type="spellEnd"/>
      <w:r w:rsidRPr="00B92DAB">
        <w:t>/</w:t>
      </w:r>
      <w:proofErr w:type="spellStart"/>
      <w:r w:rsidRPr="00B92DAB">
        <w:t>ele.12437</w:t>
      </w:r>
      <w:proofErr w:type="spellEnd"/>
      <w:r w:rsidRPr="00B92DAB">
        <w:t>)</w:t>
      </w:r>
      <w:r w:rsidRPr="00B92DAB">
        <w:br/>
      </w:r>
    </w:p>
    <w:p w14:paraId="047CB18E" w14:textId="77777777" w:rsidR="002A6E48" w:rsidRPr="00B92DAB" w:rsidRDefault="002A6E48"/>
    <w:p w14:paraId="24040D95" w14:textId="0FC88667" w:rsidR="002A6E48" w:rsidRPr="00B92DAB" w:rsidRDefault="002A6E48">
      <w:r w:rsidRPr="00B92DAB">
        <w:t>This difference complicates projections of population performance based on experiments in constant conditions, prompting calls for ecologists to explicitly incorporate environmental variation into predictions of performance in the field [5–7].</w:t>
      </w:r>
    </w:p>
    <w:p w14:paraId="16DCC905" w14:textId="0EDB3ECA" w:rsidR="002A6E48" w:rsidRPr="00B92DAB" w:rsidRDefault="002A6E48"/>
    <w:p w14:paraId="0B53D4CB" w14:textId="1AD8DC49" w:rsidR="002A6E48" w:rsidRPr="00B92DAB" w:rsidRDefault="002A6E48">
      <w:r w:rsidRPr="00B92DAB">
        <w:t>5 Dowd WW, King FA, Denny MW. 2015 Thermal variation, thermal extremes and the physiological performance of individuals. J. Exp. Biol., 218, 1956–1967. (</w:t>
      </w:r>
      <w:proofErr w:type="spellStart"/>
      <w:r w:rsidRPr="00B92DAB">
        <w:t>doi:10.1242</w:t>
      </w:r>
      <w:proofErr w:type="spellEnd"/>
      <w:r w:rsidRPr="00B92DAB">
        <w:t>/</w:t>
      </w:r>
      <w:proofErr w:type="spellStart"/>
      <w:r w:rsidRPr="00B92DAB">
        <w:t>jeb.114926</w:t>
      </w:r>
      <w:proofErr w:type="spellEnd"/>
      <w:r w:rsidRPr="00B92DAB">
        <w:t>)</w:t>
      </w:r>
    </w:p>
    <w:p w14:paraId="51CB7CF8" w14:textId="7DFDC3F7" w:rsidR="00C558B5" w:rsidRPr="00B92DAB" w:rsidRDefault="002A6E48">
      <w:r w:rsidRPr="00B92DAB">
        <w:br/>
      </w:r>
      <w:r w:rsidRPr="00B92DAB">
        <w:t xml:space="preserve">6 Savage </w:t>
      </w:r>
      <w:proofErr w:type="spellStart"/>
      <w:r w:rsidRPr="00B92DAB">
        <w:t>VM</w:t>
      </w:r>
      <w:proofErr w:type="spellEnd"/>
      <w:r w:rsidRPr="00B92DAB">
        <w:t>. 2004 Improved approximations to scaling relationships for species, populations, and ecosystems across latitudinal and elevational gradients. J. Theor. Biol., 227, 525–534. (</w:t>
      </w:r>
      <w:proofErr w:type="spellStart"/>
      <w:proofErr w:type="gramStart"/>
      <w:r w:rsidRPr="00B92DAB">
        <w:t>doi:10.1016</w:t>
      </w:r>
      <w:proofErr w:type="spellEnd"/>
      <w:r w:rsidRPr="00B92DAB">
        <w:t>/</w:t>
      </w:r>
      <w:proofErr w:type="spellStart"/>
      <w:r w:rsidRPr="00B92DAB">
        <w:t>j.jtbi</w:t>
      </w:r>
      <w:proofErr w:type="gramEnd"/>
      <w:r w:rsidRPr="00B92DAB">
        <w:t>.2003.11.030</w:t>
      </w:r>
      <w:proofErr w:type="spellEnd"/>
      <w:r w:rsidRPr="00B92DAB">
        <w:t>)</w:t>
      </w:r>
      <w:r w:rsidRPr="00B92DAB">
        <w:br/>
      </w:r>
      <w:r w:rsidRPr="00B92DAB">
        <w:br/>
      </w:r>
      <w:r w:rsidRPr="00B92DAB">
        <w:t>7 Dillon ME, Wang G, Huey RB. 2010 Global metabolic impacts of recent climate warming. Nature, 467, 704–706. (</w:t>
      </w:r>
      <w:proofErr w:type="spellStart"/>
      <w:r w:rsidRPr="00B92DAB">
        <w:t>doi:10.1038</w:t>
      </w:r>
      <w:proofErr w:type="spellEnd"/>
      <w:r w:rsidRPr="00B92DAB">
        <w:t>/</w:t>
      </w:r>
      <w:proofErr w:type="spellStart"/>
      <w:r w:rsidRPr="00B92DAB">
        <w:t>nature09407</w:t>
      </w:r>
      <w:proofErr w:type="spellEnd"/>
      <w:r w:rsidRPr="00B92DAB">
        <w:t>)</w:t>
      </w:r>
    </w:p>
    <w:p w14:paraId="26FEA781" w14:textId="77777777" w:rsidR="002A6E48" w:rsidRPr="00B92DAB" w:rsidRDefault="002A6E48"/>
    <w:p w14:paraId="731CB4C0" w14:textId="77777777" w:rsidR="002A6E48" w:rsidRPr="00B92DAB" w:rsidRDefault="002A6E48"/>
    <w:p w14:paraId="3868FDF0" w14:textId="7AF6D3B4" w:rsidR="00B92DAB" w:rsidRPr="00B92DAB" w:rsidRDefault="002A6E48" w:rsidP="00B92DAB">
      <w:r w:rsidRPr="00B92DAB">
        <w:lastRenderedPageBreak/>
        <w:t>The marine stakes are sharp: marine ectotherms already sit closer to their upper thermal limits than terrestrial ones (Pinsky et al. 2019)</w:t>
      </w:r>
      <w:r w:rsidRPr="00B92DAB">
        <w:br/>
      </w:r>
      <w:r w:rsidRPr="00B92DAB">
        <w:br/>
      </w:r>
      <w:r w:rsidRPr="00B92DAB">
        <w:t>Pinsky, Malin L., Anne Maria Eikeset, Douglas J. McCauley, Jonathan L. Payne, and Jennifer M. Sunday. "Greater vulnerability to warming of marine versus terrestrial ectotherms." Nature 569, no. 7754 (2019): 108-111.</w:t>
      </w:r>
      <w:r w:rsidR="00B92DAB" w:rsidRPr="00B92DAB">
        <w:br/>
      </w:r>
      <w:r w:rsidR="00B92DAB" w:rsidRPr="00B92DAB">
        <w:br/>
      </w:r>
      <w:r w:rsidR="00B92DAB" w:rsidRPr="00B92DAB">
        <w:t xml:space="preserve">Gene expression plasticity and frontloading promote thermotolerance in </w:t>
      </w:r>
      <w:proofErr w:type="spellStart"/>
      <w:r w:rsidR="00B92DAB" w:rsidRPr="00B92DAB">
        <w:t>Pocillopora</w:t>
      </w:r>
      <w:proofErr w:type="spellEnd"/>
      <w:r w:rsidR="00B92DAB" w:rsidRPr="00B92DAB">
        <w:t xml:space="preserve"> corals</w:t>
      </w:r>
      <w:r w:rsidR="00B92DAB">
        <w:t xml:space="preserve">. </w:t>
      </w:r>
      <w:r w:rsidR="00B92DAB" w:rsidRPr="00B92DAB">
        <w:t>The thermotolerant colonies (Oman) presented a more plastic transcriptome (more differentially expressed genes and higher fold-changes between control and heat stress conditions), but some other genes had a higher basal expression level (frontloading) compared to the thermosensitive colonies (New Caledonia).</w:t>
      </w:r>
      <w:r w:rsidR="00B92DAB">
        <w:t xml:space="preserve"> (Brener-</w:t>
      </w:r>
      <w:proofErr w:type="spellStart"/>
      <w:r w:rsidR="00B92DAB">
        <w:t>Raffalli</w:t>
      </w:r>
      <w:proofErr w:type="spellEnd"/>
      <w:r w:rsidR="00B92DAB">
        <w:t xml:space="preserve"> et al., 2022)</w:t>
      </w:r>
      <w:r w:rsidR="00B92DAB">
        <w:br/>
      </w:r>
      <w:r w:rsidR="00B92DAB">
        <w:br/>
      </w:r>
      <w:r w:rsidR="00B92DAB" w:rsidRPr="00B92DAB">
        <w:t>Brener-Raffalli, K.; Vidal-</w:t>
      </w:r>
      <w:proofErr w:type="spellStart"/>
      <w:r w:rsidR="00B92DAB" w:rsidRPr="00B92DAB">
        <w:t>Dupiol</w:t>
      </w:r>
      <w:proofErr w:type="spellEnd"/>
      <w:r w:rsidR="00B92DAB" w:rsidRPr="00B92DAB">
        <w:t xml:space="preserve">, J.; </w:t>
      </w:r>
      <w:proofErr w:type="spellStart"/>
      <w:r w:rsidR="00B92DAB" w:rsidRPr="00B92DAB">
        <w:t>Adjeroud</w:t>
      </w:r>
      <w:proofErr w:type="spellEnd"/>
      <w:r w:rsidR="00B92DAB" w:rsidRPr="00B92DAB">
        <w:t xml:space="preserve">, M.; Rey, O.; Romans, P.; Bonhomme, F.; </w:t>
      </w:r>
      <w:proofErr w:type="spellStart"/>
      <w:r w:rsidR="00B92DAB" w:rsidRPr="00B92DAB">
        <w:t>Pratlong</w:t>
      </w:r>
      <w:proofErr w:type="spellEnd"/>
      <w:r w:rsidR="00B92DAB" w:rsidRPr="00B92DAB">
        <w:t xml:space="preserve">, M.; </w:t>
      </w:r>
      <w:proofErr w:type="spellStart"/>
      <w:r w:rsidR="00B92DAB" w:rsidRPr="00B92DAB">
        <w:t>Haguenauer</w:t>
      </w:r>
      <w:proofErr w:type="spellEnd"/>
      <w:r w:rsidR="00B92DAB" w:rsidRPr="00B92DAB">
        <w:t xml:space="preserve">, A.; Pillot, R.; </w:t>
      </w:r>
      <w:proofErr w:type="spellStart"/>
      <w:r w:rsidR="00B92DAB" w:rsidRPr="00B92DAB">
        <w:t>Feuillassier</w:t>
      </w:r>
      <w:proofErr w:type="spellEnd"/>
      <w:r w:rsidR="00B92DAB" w:rsidRPr="00B92DAB">
        <w:t xml:space="preserve">, L.; </w:t>
      </w:r>
      <w:proofErr w:type="spellStart"/>
      <w:r w:rsidR="00B92DAB" w:rsidRPr="00B92DAB">
        <w:t>Claereboudt</w:t>
      </w:r>
      <w:proofErr w:type="spellEnd"/>
      <w:r w:rsidR="00B92DAB" w:rsidRPr="00B92DAB">
        <w:t xml:space="preserve">, M.; </w:t>
      </w:r>
      <w:proofErr w:type="spellStart"/>
      <w:r w:rsidR="00B92DAB" w:rsidRPr="00B92DAB">
        <w:t>Magalon</w:t>
      </w:r>
      <w:proofErr w:type="spellEnd"/>
      <w:r w:rsidR="00B92DAB" w:rsidRPr="00B92DAB">
        <w:t xml:space="preserve">, H.; </w:t>
      </w:r>
      <w:proofErr w:type="spellStart"/>
      <w:r w:rsidR="00B92DAB" w:rsidRPr="00B92DAB">
        <w:t>Gélin</w:t>
      </w:r>
      <w:proofErr w:type="spellEnd"/>
      <w:r w:rsidR="00B92DAB" w:rsidRPr="00B92DAB">
        <w:t xml:space="preserve">, P.; </w:t>
      </w:r>
      <w:proofErr w:type="spellStart"/>
      <w:r w:rsidR="00B92DAB" w:rsidRPr="00B92DAB">
        <w:t>Pontarotti</w:t>
      </w:r>
      <w:proofErr w:type="spellEnd"/>
      <w:r w:rsidR="00B92DAB" w:rsidRPr="00B92DAB">
        <w:t xml:space="preserve">, P.; Aurelle, D.; Mitta, G.; </w:t>
      </w:r>
      <w:proofErr w:type="spellStart"/>
      <w:r w:rsidR="00B92DAB" w:rsidRPr="00B92DAB">
        <w:t>Toulza</w:t>
      </w:r>
      <w:proofErr w:type="spellEnd"/>
      <w:r w:rsidR="00B92DAB" w:rsidRPr="00B92DAB">
        <w:t>, E. Gene expression plasticity and frontloading promote thermotolerance in </w:t>
      </w:r>
      <w:proofErr w:type="spellStart"/>
      <w:r w:rsidR="00B92DAB" w:rsidRPr="00B92DAB">
        <w:rPr>
          <w:i/>
          <w:iCs/>
        </w:rPr>
        <w:t>Pocillopora</w:t>
      </w:r>
      <w:proofErr w:type="spellEnd"/>
      <w:r w:rsidR="00B92DAB" w:rsidRPr="00B92DAB">
        <w:t xml:space="preserve"> corals. Peer Community Journal, Volume 2 (2022), article no. </w:t>
      </w:r>
      <w:proofErr w:type="spellStart"/>
      <w:r w:rsidR="00B92DAB" w:rsidRPr="00B92DAB">
        <w:t>e13</w:t>
      </w:r>
      <w:proofErr w:type="spellEnd"/>
      <w:r w:rsidR="00B92DAB" w:rsidRPr="00B92DAB">
        <w:t xml:space="preserve">. </w:t>
      </w:r>
      <w:hyperlink r:id="rId4" w:history="1">
        <w:r w:rsidR="00E87251" w:rsidRPr="008817C1">
          <w:rPr>
            <w:rStyle w:val="Hyperlink"/>
          </w:rPr>
          <w:t>https://doi.org/10.24072/pcjournal.79</w:t>
        </w:r>
      </w:hyperlink>
      <w:r w:rsidR="00E87251">
        <w:br/>
      </w:r>
      <w:r w:rsidR="00E87251">
        <w:br/>
      </w:r>
      <w:r w:rsidR="00E87251" w:rsidRPr="00E87251">
        <w:t>Here, we compare transcriptome-wide gene expression (via RNA-Seq using Illumina sequencing) among conspecific thermally sensitive and thermally resilient corals to identify the molecular pathways contributing to coral resilience. Under simulated bleaching stress, sensitive and resilient corals change expression of hundreds of genes, but the resilient corals had higher expression under control conditions across 60 of these genes. These “frontloaded” transcripts were less up-regulated in resilient corals during heat stress and included thermal tolerance genes such as heat shock proteins and antioxidant enzymes, as well as a broad array of genes involved in apoptosis regulation, tumor suppression, innate immune response, and cell adhesion.</w:t>
      </w:r>
      <w:r w:rsidR="00E87251">
        <w:br/>
      </w:r>
      <w:r w:rsidR="00E87251">
        <w:br/>
      </w:r>
      <w:r w:rsidR="00E87251" w:rsidRPr="00E87251">
        <w:t xml:space="preserve">D.J. Barshis, J.T. Ladner, T.A. Oliver, F.O. Seneca, N. Traylor-Knowles, &amp; S.R. </w:t>
      </w:r>
      <w:proofErr w:type="spellStart"/>
      <w:r w:rsidR="00E87251" w:rsidRPr="00E87251">
        <w:t>Palumbi</w:t>
      </w:r>
      <w:proofErr w:type="spellEnd"/>
      <w:r w:rsidR="00E87251" w:rsidRPr="00E87251">
        <w:t>, Genomic basis for coral resilience to climate change, Proc. Natl. Acad. Sci. U.S.A. 110 (4) 1387-1392, https://doi.org/10.1073/pnas.1210224110 (2013).</w:t>
      </w:r>
    </w:p>
    <w:p w14:paraId="4DDC09CF" w14:textId="7815A825" w:rsidR="00E87251" w:rsidRDefault="00E87251" w:rsidP="00E87251">
      <w:r>
        <w:br/>
        <w:t>Additional References</w:t>
      </w:r>
      <w:r>
        <w:br/>
      </w:r>
      <w:r>
        <w:t>Denny, M. (2017). The fallacy of the average: on the ubiquity, utility and continuing novelty of Jensen's inequality. J. Exp. Biol. 220, 139–146.</w:t>
      </w:r>
    </w:p>
    <w:p w14:paraId="0D7121A5" w14:textId="77777777" w:rsidR="00E87251" w:rsidRDefault="00E87251" w:rsidP="00E87251">
      <w:r>
        <w:t>Bernhardt, Sunday, Thompson &amp; O'Connor (2018). Nonlinear averaging of thermal experience predicts population growth rates in a thermally variable environment. Proc. R. Soc. B 285, 20181076.</w:t>
      </w:r>
    </w:p>
    <w:p w14:paraId="48246971" w14:textId="77777777" w:rsidR="00E87251" w:rsidRDefault="00E87251" w:rsidP="00E87251">
      <w:proofErr w:type="spellStart"/>
      <w:r>
        <w:t>Gouhier</w:t>
      </w:r>
      <w:proofErr w:type="spellEnd"/>
      <w:r>
        <w:t xml:space="preserve"> &amp; Pillai (2019). Commentary on Bernhardt et al. Front. Ecol. Evol. 7, 236. (Read this with #2; it is the critique you must design against.)</w:t>
      </w:r>
    </w:p>
    <w:p w14:paraId="37EDFE3A" w14:textId="77777777" w:rsidR="00E87251" w:rsidRDefault="00E87251" w:rsidP="00E87251">
      <w:r>
        <w:t>Dowd, King &amp; Denny (2015). Thermal variation, thermal extremes and the physiological performance of individuals. J. Exp. Biol. 218, 1956–1967.</w:t>
      </w:r>
    </w:p>
    <w:p w14:paraId="403EB94F" w14:textId="77777777" w:rsidR="00E87251" w:rsidRDefault="00E87251" w:rsidP="00E87251">
      <w:r>
        <w:t xml:space="preserve">Pinsky, </w:t>
      </w:r>
      <w:proofErr w:type="spellStart"/>
      <w:r>
        <w:t>Eikeset</w:t>
      </w:r>
      <w:proofErr w:type="spellEnd"/>
      <w:r>
        <w:t>, McCauley, Payne &amp; Sunday (2019). Greater vulnerability to warming of marine versus terrestrial ectotherms. Nature 569, 108–111.</w:t>
      </w:r>
    </w:p>
    <w:p w14:paraId="4157D50E" w14:textId="77777777" w:rsidR="00E87251" w:rsidRDefault="00E87251" w:rsidP="00E87251">
      <w:r>
        <w:t>Barshis et al. (2013). Genomic basis for coral resilience to climate change. PNAS 110, 1387–1392. (The frontloading paper.)</w:t>
      </w:r>
    </w:p>
    <w:p w14:paraId="61954D41" w14:textId="77777777" w:rsidR="00E87251" w:rsidRDefault="00E87251" w:rsidP="00E87251">
      <w:r>
        <w:t xml:space="preserve">Lefevre (2016). Are global warming and ocean acidification conspiring against marine ectotherms? </w:t>
      </w:r>
      <w:proofErr w:type="spellStart"/>
      <w:r>
        <w:t>Conserv</w:t>
      </w:r>
      <w:proofErr w:type="spellEnd"/>
      <w:r>
        <w:t xml:space="preserve">. Physiol. 4, </w:t>
      </w:r>
      <w:proofErr w:type="spellStart"/>
      <w:r>
        <w:t>cow009</w:t>
      </w:r>
      <w:proofErr w:type="spellEnd"/>
      <w:r>
        <w:t xml:space="preserve">. (The </w:t>
      </w:r>
      <w:proofErr w:type="spellStart"/>
      <w:r>
        <w:t>OCLTT</w:t>
      </w:r>
      <w:proofErr w:type="spellEnd"/>
      <w:r>
        <w:t>-skeptical meta-analysis.)</w:t>
      </w:r>
    </w:p>
    <w:p w14:paraId="37C1A848" w14:textId="77777777" w:rsidR="00E87251" w:rsidRDefault="00E87251" w:rsidP="00E87251">
      <w:proofErr w:type="spellStart"/>
      <w:r>
        <w:lastRenderedPageBreak/>
        <w:t>Pörtner</w:t>
      </w:r>
      <w:proofErr w:type="spellEnd"/>
      <w:r>
        <w:t xml:space="preserve">, Bock &amp; Mark (2017). Oxygen- and capacity-limited thermal tolerance: bridging ecology and physiology. J. Exp. Biol. 220, 2685–2696. (Felix's framework; read alongside </w:t>
      </w:r>
      <w:proofErr w:type="spellStart"/>
      <w:r>
        <w:t>Jutfelt</w:t>
      </w:r>
      <w:proofErr w:type="spellEnd"/>
      <w:r>
        <w:t xml:space="preserve"> et al. 2018, the rebuttal.)</w:t>
      </w:r>
    </w:p>
    <w:p w14:paraId="1B619AB0" w14:textId="77777777" w:rsidR="00E87251" w:rsidRDefault="00E87251" w:rsidP="00E87251">
      <w:r>
        <w:t xml:space="preserve">Hofmann, Buckley, Airaksinen, Keen &amp; Somero (2000). Heat-shock protein expression is absent in the Antarctic fish </w:t>
      </w:r>
      <w:proofErr w:type="spellStart"/>
      <w:r>
        <w:t>Trematomus</w:t>
      </w:r>
      <w:proofErr w:type="spellEnd"/>
      <w:r>
        <w:t xml:space="preserve"> </w:t>
      </w:r>
      <w:proofErr w:type="spellStart"/>
      <w:r>
        <w:t>bernacchii</w:t>
      </w:r>
      <w:proofErr w:type="spellEnd"/>
      <w:r>
        <w:t>. J. Exp. Biol. 203, 2331–2339.</w:t>
      </w:r>
    </w:p>
    <w:p w14:paraId="0C0BFBC0" w14:textId="0A782530" w:rsidR="002A6E48" w:rsidRPr="00B92DAB" w:rsidRDefault="00E87251" w:rsidP="00E87251">
      <w:r>
        <w:t xml:space="preserve">Sokolova (2013). Energy-limited tolerance to stress as a conceptual framework. </w:t>
      </w:r>
      <w:proofErr w:type="spellStart"/>
      <w:r>
        <w:t>Integr</w:t>
      </w:r>
      <w:proofErr w:type="spellEnd"/>
      <w:r>
        <w:t>. Comp. Biol. 53, 597–608. (The bioenergetic frame you already used in GCB 2023.)</w:t>
      </w:r>
    </w:p>
    <w:sectPr w:rsidR="002A6E48" w:rsidRPr="00B92D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E48"/>
    <w:rsid w:val="0025652F"/>
    <w:rsid w:val="002A6E48"/>
    <w:rsid w:val="00346259"/>
    <w:rsid w:val="00480530"/>
    <w:rsid w:val="004A5E0A"/>
    <w:rsid w:val="0071739A"/>
    <w:rsid w:val="00AE3607"/>
    <w:rsid w:val="00B92DAB"/>
    <w:rsid w:val="00C558B5"/>
    <w:rsid w:val="00D100E3"/>
    <w:rsid w:val="00D65B0F"/>
    <w:rsid w:val="00E87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478C2"/>
  <w15:chartTrackingRefBased/>
  <w15:docId w15:val="{B835FE01-BEC4-4A4A-9F78-382542D71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E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6E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6E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6E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E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E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E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E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E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E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6E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6E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6E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E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E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E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E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E48"/>
    <w:rPr>
      <w:rFonts w:eastAsiaTheme="majorEastAsia" w:cstheme="majorBidi"/>
      <w:color w:val="272727" w:themeColor="text1" w:themeTint="D8"/>
    </w:rPr>
  </w:style>
  <w:style w:type="paragraph" w:styleId="Title">
    <w:name w:val="Title"/>
    <w:basedOn w:val="Normal"/>
    <w:next w:val="Normal"/>
    <w:link w:val="TitleChar"/>
    <w:uiPriority w:val="10"/>
    <w:qFormat/>
    <w:rsid w:val="002A6E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E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E4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E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E4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6E48"/>
    <w:rPr>
      <w:i/>
      <w:iCs/>
      <w:color w:val="404040" w:themeColor="text1" w:themeTint="BF"/>
    </w:rPr>
  </w:style>
  <w:style w:type="paragraph" w:styleId="ListParagraph">
    <w:name w:val="List Paragraph"/>
    <w:basedOn w:val="Normal"/>
    <w:uiPriority w:val="34"/>
    <w:qFormat/>
    <w:rsid w:val="002A6E48"/>
    <w:pPr>
      <w:ind w:left="720"/>
      <w:contextualSpacing/>
    </w:pPr>
  </w:style>
  <w:style w:type="character" w:styleId="IntenseEmphasis">
    <w:name w:val="Intense Emphasis"/>
    <w:basedOn w:val="DefaultParagraphFont"/>
    <w:uiPriority w:val="21"/>
    <w:qFormat/>
    <w:rsid w:val="002A6E48"/>
    <w:rPr>
      <w:i/>
      <w:iCs/>
      <w:color w:val="0F4761" w:themeColor="accent1" w:themeShade="BF"/>
    </w:rPr>
  </w:style>
  <w:style w:type="paragraph" w:styleId="IntenseQuote">
    <w:name w:val="Intense Quote"/>
    <w:basedOn w:val="Normal"/>
    <w:next w:val="Normal"/>
    <w:link w:val="IntenseQuoteChar"/>
    <w:uiPriority w:val="30"/>
    <w:qFormat/>
    <w:rsid w:val="002A6E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E48"/>
    <w:rPr>
      <w:i/>
      <w:iCs/>
      <w:color w:val="0F4761" w:themeColor="accent1" w:themeShade="BF"/>
    </w:rPr>
  </w:style>
  <w:style w:type="character" w:styleId="IntenseReference">
    <w:name w:val="Intense Reference"/>
    <w:basedOn w:val="DefaultParagraphFont"/>
    <w:uiPriority w:val="32"/>
    <w:qFormat/>
    <w:rsid w:val="002A6E48"/>
    <w:rPr>
      <w:b/>
      <w:bCs/>
      <w:smallCaps/>
      <w:color w:val="0F4761" w:themeColor="accent1" w:themeShade="BF"/>
      <w:spacing w:val="5"/>
    </w:rPr>
  </w:style>
  <w:style w:type="character" w:styleId="Hyperlink">
    <w:name w:val="Hyperlink"/>
    <w:basedOn w:val="DefaultParagraphFont"/>
    <w:uiPriority w:val="99"/>
    <w:unhideWhenUsed/>
    <w:rsid w:val="002A6E48"/>
    <w:rPr>
      <w:color w:val="467886" w:themeColor="hyperlink"/>
      <w:u w:val="single"/>
    </w:rPr>
  </w:style>
  <w:style w:type="character" w:styleId="UnresolvedMention">
    <w:name w:val="Unresolved Mention"/>
    <w:basedOn w:val="DefaultParagraphFont"/>
    <w:uiPriority w:val="99"/>
    <w:semiHidden/>
    <w:unhideWhenUsed/>
    <w:rsid w:val="002A6E48"/>
    <w:rPr>
      <w:color w:val="605E5C"/>
      <w:shd w:val="clear" w:color="auto" w:fill="E1DFDD"/>
    </w:rPr>
  </w:style>
  <w:style w:type="paragraph" w:styleId="HTMLPreformatted">
    <w:name w:val="HTML Preformatted"/>
    <w:basedOn w:val="Normal"/>
    <w:link w:val="HTMLPreformattedChar"/>
    <w:uiPriority w:val="99"/>
    <w:semiHidden/>
    <w:unhideWhenUsed/>
    <w:rsid w:val="00B92DAB"/>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92DA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24072/pcjournal.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5011977-b912-4387-97a4-f4c94a801377}" enabled="1" method="Standard" siteId="{11d0e217-264e-400a-8ba0-57dcc127d72d}" contentBits="0" removed="0"/>
</clbl:labelList>
</file>

<file path=docProps/app.xml><?xml version="1.0" encoding="utf-8"?>
<Properties xmlns="http://schemas.openxmlformats.org/officeDocument/2006/extended-properties" xmlns:vt="http://schemas.openxmlformats.org/officeDocument/2006/docPropsVTypes">
  <Template>Normal.dotm</Template>
  <TotalTime>416</TotalTime>
  <Pages>3</Pages>
  <Words>971</Words>
  <Characters>5539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Matthew (DFW)</dc:creator>
  <cp:keywords/>
  <dc:description/>
  <cp:lastModifiedBy>George, Matthew (DFW)</cp:lastModifiedBy>
  <cp:revision>1</cp:revision>
  <dcterms:created xsi:type="dcterms:W3CDTF">2026-06-29T21:55:00Z</dcterms:created>
  <dcterms:modified xsi:type="dcterms:W3CDTF">2026-06-30T04:51:00Z</dcterms:modified>
</cp:coreProperties>
</file>