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00E42" w14:textId="77777777" w:rsidR="00C42CAF" w:rsidRDefault="00FF123D">
      <w:pPr>
        <w:spacing w:after="200" w:line="288" w:lineRule="auto"/>
      </w:pPr>
      <w:r>
        <w:rPr>
          <w:b/>
          <w:bCs/>
          <w:sz w:val="28"/>
          <w:szCs w:val="28"/>
        </w:rPr>
        <w:t>Thermal Memory and the Realized Safety Margin: The Epigenetic Basis of Heat Hardening in Intertidal Bivalves</w:t>
      </w:r>
    </w:p>
    <w:p w14:paraId="44300E43" w14:textId="77777777" w:rsidR="00C42CAF" w:rsidRDefault="00FF123D">
      <w:pPr>
        <w:spacing w:after="40" w:line="264" w:lineRule="auto"/>
      </w:pPr>
      <w:r>
        <w:t>Applicant: Matthew N. George</w:t>
      </w:r>
    </w:p>
    <w:p w14:paraId="44300E44" w14:textId="77777777" w:rsidR="00C42CAF" w:rsidRDefault="00FF123D">
      <w:pPr>
        <w:spacing w:after="40" w:line="264" w:lineRule="auto"/>
      </w:pPr>
      <w:r>
        <w:t>Proposed host: Felix Christopher Mark, Alfred Wegener Institute (AWI), Bremerhaven</w:t>
      </w:r>
    </w:p>
    <w:p w14:paraId="44300E45" w14:textId="77777777" w:rsidR="00C42CAF" w:rsidRDefault="00FF123D">
      <w:pPr>
        <w:spacing w:after="40" w:line="264" w:lineRule="auto"/>
      </w:pPr>
      <w:r>
        <w:t>Collaborator: Paolo Domenici, CNR Institute of Biophysics, Italy</w:t>
      </w:r>
    </w:p>
    <w:p w14:paraId="44300E46" w14:textId="77777777" w:rsidR="00C42CAF" w:rsidRDefault="00FF123D">
      <w:pPr>
        <w:spacing w:before="220" w:after="80" w:line="264" w:lineRule="auto"/>
      </w:pPr>
      <w:r>
        <w:rPr>
          <w:b/>
          <w:bCs/>
        </w:rPr>
        <w:t>Background</w:t>
      </w:r>
    </w:p>
    <w:p w14:paraId="4798AB56" w14:textId="77777777" w:rsidR="00EA26B4" w:rsidRDefault="004F66B5">
      <w:pPr>
        <w:spacing w:after="140" w:line="264" w:lineRule="auto"/>
        <w:jc w:val="both"/>
      </w:pPr>
      <w:r>
        <w:t xml:space="preserve">Warming is proceeding faster than many populations can adapt, compressing the distance between the temperatures they experience and the limits they can tolerate (Hoffmann &amp; Sgrò 2011). The ramifications of this compression are particularly relevant for marine ectotherms, which already live closer to their thermal maxima than terrestrial ectotherms at comparable latitudes (Pinsky et al. 2019). </w:t>
      </w:r>
    </w:p>
    <w:p w14:paraId="6A33D560" w14:textId="57AB5CBB" w:rsidR="000B17E3" w:rsidRDefault="004F66B5">
      <w:pPr>
        <w:spacing w:after="140" w:line="264" w:lineRule="auto"/>
        <w:jc w:val="both"/>
      </w:pPr>
      <w:r>
        <w:t xml:space="preserve">The distance between a tolerance limit and the temperature an organism experiences is commonly formalized as a thermal safety margin (Deutsch et al. 2008). </w:t>
      </w:r>
      <w:r w:rsidR="000B17E3">
        <w:t>Historically treated as fixed species-level traits, thermal safety margins derived from static assays fail to account for physiological "memory" (Denny 2017; Dowd et al. 2015). Static models assume organisms respond naively to stress, but repeated sublethal exposures have been demonstrated to induce stress "hardening" in marine invertebrates (Hofmann 1999; Georgoulis et al. 2023). Hardening temporarily shifts thermal limits upward through the development of a protective phenotype, acting as a dynamic modifier of the safety margin. The magnitude, persistence, and molecular basis of hardening determine how far the realized safety margin departs from static predictions.</w:t>
      </w:r>
    </w:p>
    <w:p w14:paraId="27A59AC5" w14:textId="772FBD28" w:rsidR="00C4319A" w:rsidRDefault="00C4319A">
      <w:pPr>
        <w:spacing w:after="140" w:line="264" w:lineRule="auto"/>
        <w:jc w:val="both"/>
      </w:pPr>
      <w:r>
        <w:t xml:space="preserve">Heat hardening is rapid and substantial in intertidal bivalves. In the California mussel, a single two-hour sublethal exposure improves heat tolerance within 24 to 48 hours, an effect sustained for up to three weeks without further heating (Moyen et al. 2020); induced thermal tolerance of comparable duration is </w:t>
      </w:r>
      <w:r w:rsidR="00AC7952">
        <w:t xml:space="preserve">also </w:t>
      </w:r>
      <w:r>
        <w:t>documented in the Pacific oyster (Jackson et al. 2011). Hardening thus provides a fast, transient, and tunable reserve that operates on a distinct timescale from slow, chronic acclimation, making it a promising low-cost route to resilience. However, critical quantitative and mechanistic gaps remain. Notable uncertainties include the kinetics of hardening induction, persistence, decay, and refractory periods, a clear accounting of the physiological cost associated with hardened phenotypes, and whether they constitute a durable molecular memory or merely the transient kinetics of heat-shock-protein induction (Bowler 2005).</w:t>
      </w:r>
    </w:p>
    <w:p w14:paraId="0928537C" w14:textId="3EB629F1" w:rsidR="00EE6432" w:rsidRDefault="00F538E5">
      <w:pPr>
        <w:spacing w:before="220" w:after="80" w:line="264" w:lineRule="auto"/>
      </w:pPr>
      <w:r>
        <w:t xml:space="preserve">The underlying architecture of heat hardening can be explained by two competing mechanistic frameworks. Under the first, hardening relies on a temporary surge in molecular chaperones, with the protective benefits fading as the chaperone pool turns over. Under the second, prior exposure leaves a durable epigenetic mark. Epigenetic memory can include primed chromatin or altered DNA methylation at stress-responsive loci which allow the corresponding gene networks to activate faster or more robustly upon re-exposure (D'Urso &amp; Brickner 2014). The epigenetic route is highly plausible in intertidal bivalves, as the mussel transcriptome has been demonstrated to be tuned by recent environmental history (Lockwood et al. 2015) and DNA methylation is both stress-responsive and hypothesized to encode environmental memory (Eirin-Lopez &amp; Putnam 2019; Gavery &amp; Roberts 2017). In the Pacific oyster, whose genome carries pervasive gene-body methylation (Gavery &amp; Roberts 2010), methylation tracks thermal history across tidal-height gradients (Wang et al. 2021). However, it remains unknown how long </w:t>
      </w:r>
      <w:r>
        <w:lastRenderedPageBreak/>
        <w:t>these epigenetic changes persist and whether they directly correlate with the hardened phenotype. If they do, the realized safety margin at any given moment is not dictated by a static tolerance curve, but by a quantifiable molecular memory.</w:t>
      </w:r>
    </w:p>
    <w:p w14:paraId="44300E4B" w14:textId="7ECC92CA" w:rsidR="00C42CAF" w:rsidRDefault="00FF123D">
      <w:pPr>
        <w:spacing w:before="220" w:after="80" w:line="264" w:lineRule="auto"/>
      </w:pPr>
      <w:r>
        <w:rPr>
          <w:b/>
          <w:bCs/>
        </w:rPr>
        <w:t>Specific Aims</w:t>
      </w:r>
    </w:p>
    <w:p w14:paraId="44300E4C" w14:textId="3AEBE8BD" w:rsidR="00C42CAF" w:rsidRDefault="00FF123D">
      <w:pPr>
        <w:spacing w:after="140" w:line="264" w:lineRule="auto"/>
        <w:jc w:val="both"/>
      </w:pPr>
      <w:r>
        <w:t>Th</w:t>
      </w:r>
      <w:r w:rsidR="00D93A19">
        <w:t>is</w:t>
      </w:r>
      <w:r>
        <w:t xml:space="preserve"> proposal seeks to understand how thermal history retunes the realized thermal safety margin within two marine ectotherms, the blue mussel (</w:t>
      </w:r>
      <w:r>
        <w:rPr>
          <w:i/>
          <w:iCs/>
        </w:rPr>
        <w:t>Mytilus edulis</w:t>
      </w:r>
      <w:r>
        <w:t>) and the Pacific oyster (</w:t>
      </w:r>
      <w:r>
        <w:rPr>
          <w:i/>
          <w:iCs/>
        </w:rPr>
        <w:t>Crassostrea gigas</w:t>
      </w:r>
      <w:r>
        <w:t>). Intertidal bivalves provide an ideal model system for hardening because their thermal limits can be measured non-invasively and repeatedly by tracking cardiac performance with infrared heartbeat sensors (Burnett et al. 2013). Heating an individual to its critical cardiac temperature and returning it to ambient conditions is non-lethal, allowing the same animal to be probed multiple times to resolve induction, peak, decay, and refractoriness of any protective phenotypes (Moyen et al. 2020; Moyen et al. 2022). Contrasting a mussel with an oyster also tests whether the kinetics and molecular memory of hardening generalize across two bivalve lineages with different life histories, or if they are lineage-specific.</w:t>
      </w:r>
    </w:p>
    <w:p w14:paraId="44300E4E" w14:textId="2FF30B53" w:rsidR="00C42CAF" w:rsidRDefault="00FF123D" w:rsidP="00A057DF">
      <w:pPr>
        <w:spacing w:before="140" w:after="60" w:line="264" w:lineRule="auto"/>
      </w:pPr>
      <w:r>
        <w:rPr>
          <w:b/>
          <w:bCs/>
        </w:rPr>
        <w:t>Aim 1: kinetics (organism).</w:t>
      </w:r>
      <w:r>
        <w:t xml:space="preserve"> </w:t>
      </w:r>
      <w:r w:rsidRPr="007B42BD">
        <w:rPr>
          <w:u w:val="single"/>
        </w:rPr>
        <w:t>How much does prior sublethal exposure shift the realized safety margin, and how fast does the shift rise, persist, and decay</w:t>
      </w:r>
      <w:r w:rsidRPr="00332732">
        <w:rPr>
          <w:u w:val="single"/>
        </w:rPr>
        <w:t>?</w:t>
      </w:r>
      <w:r>
        <w:t xml:space="preserve"> </w:t>
      </w:r>
      <w:r w:rsidR="00123C3F">
        <w:t xml:space="preserve">The first aim is </w:t>
      </w:r>
      <w:r w:rsidR="0076255A">
        <w:t>designed to test two</w:t>
      </w:r>
      <w:r>
        <w:t xml:space="preserve"> alternative outc</w:t>
      </w:r>
      <w:r w:rsidR="0076255A">
        <w:t>omes</w:t>
      </w:r>
      <w:r>
        <w:t xml:space="preserve">. </w:t>
      </w:r>
      <w:r w:rsidR="0076255A">
        <w:t xml:space="preserve">First, </w:t>
      </w:r>
      <w:r w:rsidR="001B5458">
        <w:t>a shift in the thermal</w:t>
      </w:r>
      <w:r>
        <w:t xml:space="preserve"> </w:t>
      </w:r>
      <w:r w:rsidR="001B5458">
        <w:t xml:space="preserve">safety </w:t>
      </w:r>
      <w:r>
        <w:t>margin may scale quantitatively with the priming dose up to a saturating threshold, with the species that experiences more environmental variability displaying a faster and larger response that decays over a predictable timescale. Alternatively, the hardening response could function as a binary trigger rather than a graded one. If this is the case, the relationship between the priming dose and the thermal safety margin will resemble a step function. Any thermal exposure that exceeds the required induction threshold will yield the exact same magnitude of protection and the exact same decay timescale, regardless of the stressor's severity. Such an outcome would imply a highly conserved, inflexible mechanism where the molecular memory of the heat event is fixed.</w:t>
      </w:r>
    </w:p>
    <w:p w14:paraId="44300E50" w14:textId="34A24480" w:rsidR="00C42CAF" w:rsidRDefault="00FF123D" w:rsidP="00A057DF">
      <w:pPr>
        <w:spacing w:before="140" w:after="60" w:line="264" w:lineRule="auto"/>
      </w:pPr>
      <w:r>
        <w:rPr>
          <w:b/>
          <w:bCs/>
        </w:rPr>
        <w:t>Aim 2: cost (physiology).</w:t>
      </w:r>
      <w:r>
        <w:t xml:space="preserve"> </w:t>
      </w:r>
      <w:r w:rsidRPr="007B42BD">
        <w:rPr>
          <w:u w:val="single"/>
        </w:rPr>
        <w:t>What is the energetic cost of the hardening reserve?</w:t>
      </w:r>
      <w:r>
        <w:t xml:space="preserve"> If hardening draws from the same energetic budget as growth, attachment, and reproduction, a primed animal will incur a measurable somatic or reproductive deficit. Conversely, if hardening acts as a low-cost, rapid-response system, this trade-off will be negligible compared to the heavy metabolic burden of chronic acclimation (Sokolova 2013). By leveraging the oyster's constitutively elevated chaperone pool (Hamdoun et al. 2003; Meistertzheim et al. 2007), </w:t>
      </w:r>
      <w:r w:rsidR="00422361">
        <w:t xml:space="preserve">the second aim </w:t>
      </w:r>
      <w:r>
        <w:t>provides a direct, within-study contrast between a "paid-in-advance" evolutionary strategy and a strictly inducible stress response (Barshis et al. 2013).</w:t>
      </w:r>
    </w:p>
    <w:p w14:paraId="44300E52" w14:textId="3BD6741F" w:rsidR="00C42CAF" w:rsidRDefault="00FF123D" w:rsidP="00A057DF">
      <w:pPr>
        <w:spacing w:before="140" w:after="60" w:line="264" w:lineRule="auto"/>
      </w:pPr>
      <w:r>
        <w:rPr>
          <w:b/>
          <w:bCs/>
        </w:rPr>
        <w:t>Aim 3: memory (epigenome).</w:t>
      </w:r>
      <w:r>
        <w:t xml:space="preserve"> </w:t>
      </w:r>
      <w:r w:rsidRPr="007B42BD">
        <w:rPr>
          <w:u w:val="single"/>
        </w:rPr>
        <w:t>Does hardening rely on durable epigenetic memory or transient chaperone kinetics?</w:t>
      </w:r>
      <w:r>
        <w:t xml:space="preserve"> If the memory hypothesis holds, primed animals will mount an amplified transcriptional response upon re-exposure, with differential DNA methylation at stress-responsive loci tracking the rise and fall of the hardened phenotype. Conversely, if only transient kinetics are at play, the second-exposure transcriptome will differ merely in the speed of chaperone induction without a durable methylation </w:t>
      </w:r>
      <w:r w:rsidR="00EB4F2E">
        <w:t>signature</w:t>
      </w:r>
      <w:r>
        <w:t>.</w:t>
      </w:r>
    </w:p>
    <w:p w14:paraId="44300E53" w14:textId="77777777" w:rsidR="00C42CAF" w:rsidRDefault="00FF123D">
      <w:pPr>
        <w:spacing w:before="220" w:after="80" w:line="264" w:lineRule="auto"/>
      </w:pPr>
      <w:r>
        <w:rPr>
          <w:b/>
          <w:bCs/>
        </w:rPr>
        <w:t>Methods</w:t>
      </w:r>
    </w:p>
    <w:p w14:paraId="45B54F0B" w14:textId="086256AF" w:rsidR="005D200A" w:rsidRDefault="00FF123D" w:rsidP="005D200A">
      <w:pPr>
        <w:spacing w:before="140" w:after="60" w:line="264" w:lineRule="auto"/>
      </w:pPr>
      <w:r>
        <w:rPr>
          <w:b/>
          <w:bCs/>
        </w:rPr>
        <w:t>Aim 1: kinetics (organism).</w:t>
      </w:r>
      <w:r>
        <w:t xml:space="preserve"> Aim 1 will be addressed in two stages. First, a dose-response relationship will be established by priming animals across a grid of sublethal temperatures and </w:t>
      </w:r>
      <w:r>
        <w:lastRenderedPageBreak/>
        <w:t xml:space="preserve">durations. Exposures will be adapted from parameters effective in </w:t>
      </w:r>
      <w:r>
        <w:rPr>
          <w:i/>
          <w:iCs/>
        </w:rPr>
        <w:t>Mytilus californianus</w:t>
      </w:r>
      <w:r>
        <w:t xml:space="preserve"> (Moyen et al. 2020) to fit the thermal ranges of </w:t>
      </w:r>
      <w:r>
        <w:rPr>
          <w:i/>
          <w:iCs/>
        </w:rPr>
        <w:t>M. edulis</w:t>
      </w:r>
      <w:r>
        <w:t xml:space="preserve"> and </w:t>
      </w:r>
      <w:r>
        <w:rPr>
          <w:i/>
          <w:iCs/>
        </w:rPr>
        <w:t>C. gigas</w:t>
      </w:r>
      <w:r>
        <w:t xml:space="preserve">. After priming, the shift in the realized safety margin will be resolved non-invasively as the critical cardiac temperature, measured at a controlled heating rate (Moyen et al. 2019) with infrared heartbeat sensors (Burnett et al. 2013), alongside shifts in heatwave survival. Because bivalve thermal tolerance rests on multiple mechanisms rather than a single aerobic-scope axis (Götze et al. 2025), the cardiac endpoint </w:t>
      </w:r>
      <w:r w:rsidR="00BF041D">
        <w:t>will be</w:t>
      </w:r>
      <w:r>
        <w:t xml:space="preserve"> paired with flow-through in vivo Nuclear Magnetic Resonance (NMR) spectroscopy, which resolves real-time shifts in critical metabolic thresholds such as intracellular pH drop and the depletion of ATP and phospho-L-arginine as a direct, sublethal measure of cumulative cellular damage (Mark et al. 2002; Sartoris et al. 2003; Bock et al. 2019).</w:t>
      </w:r>
    </w:p>
    <w:p w14:paraId="32C047FA" w14:textId="754D436A" w:rsidR="005D200A" w:rsidRDefault="005D200A" w:rsidP="005D200A">
      <w:pPr>
        <w:spacing w:before="140" w:after="60" w:line="264" w:lineRule="auto"/>
      </w:pPr>
      <w:r>
        <w:t>Second, response kinetics will be mapped through repeated, non-invasive cardiac phenotyping of the same individuals, which allows many animals to be tracked in parallel across the induction, peak, decay, and refractory phases. By following the critical cardiac temperature over time, the time to peak thermal hardening, the persistence plateau, the decay to baseline, and any refractory period where secondary priming becomes less effective can be precisely mapped. In vivo NMR then resolves the metabolic state underlying selected kinetic points, and at least one NMR-derived threshold (e.g., the critical onset of phosphagen depletion) will be validated against an independent heatwave-survival assay to ensure ecological relevance.</w:t>
      </w:r>
    </w:p>
    <w:p w14:paraId="44300E57" w14:textId="356F27DA" w:rsidR="00C42CAF" w:rsidRDefault="00FF123D" w:rsidP="005A7093">
      <w:pPr>
        <w:spacing w:before="140" w:after="60" w:line="264" w:lineRule="auto"/>
      </w:pPr>
      <w:r>
        <w:rPr>
          <w:b/>
          <w:bCs/>
        </w:rPr>
        <w:t>Aim 2: cost (physiology).</w:t>
      </w:r>
      <w:r>
        <w:t xml:space="preserve"> Evidence of carryover costs will be investigated by comparing primed individuals against unprimed controls. In the mussel, byssal thread production and attachment strength will be measured using mechanical testing, as both contribute to survival. In both the mussel and the oyster, growth, condition, and reproductive status will be measured</w:t>
      </w:r>
      <w:r w:rsidR="005C716A">
        <w:t xml:space="preserve"> from a subset</w:t>
      </w:r>
      <w:r>
        <w:t xml:space="preserve">. The energetic cost associated with hardening will be measured in both species through the quantification of standard metabolic rate using </w:t>
      </w:r>
      <w:commentRangeStart w:id="0"/>
      <w:r>
        <w:t xml:space="preserve">closed-system </w:t>
      </w:r>
      <w:commentRangeEnd w:id="0"/>
      <w:r w:rsidR="009529ED">
        <w:rPr>
          <w:rStyle w:val="Kommentarzeichen"/>
          <w:sz w:val="22"/>
          <w:szCs w:val="22"/>
        </w:rPr>
        <w:commentReference w:id="0"/>
      </w:r>
      <w:r>
        <w:t>respirometry, as well as through a metabolic-enzyme panel indexing aerobic capacity (citrate synthase and cytochrome c oxidase activities) and the cost of ion regulation (Na+/K+-ATPase activity).</w:t>
      </w:r>
    </w:p>
    <w:p w14:paraId="0999BAE3" w14:textId="76940286" w:rsidR="00D8023A" w:rsidRDefault="00FF123D" w:rsidP="00D8023A">
      <w:pPr>
        <w:spacing w:before="140" w:after="60" w:line="264" w:lineRule="auto"/>
      </w:pPr>
      <w:r>
        <w:rPr>
          <w:b/>
          <w:bCs/>
        </w:rPr>
        <w:t xml:space="preserve">Aim 3: memory (epigenome). </w:t>
      </w:r>
      <w:r>
        <w:t xml:space="preserve">The epigenomic basis of thermal memory will be quantified by resolving first-hit versus second-hit stress responses. Animals will be primed and allowed to recover to specific kinetic points established in Aim 1, including peak hardening and intervals within the decay window, before being re-exposed and compared against naive controls. To quantify transcriptional memory, 3' Tag-Seq and weighted gene co-expression network analysis will be used to isolate functional modules showing enhanced or accelerated induction in the primed cohorts. Concurrently, whole-genome bisulfite sequencing (WGBS) will also profile the methylome at these time points to determine whether differential methylation at stress-responsive loci tracks the rise and fall of the hardened phenotype. Candidate loci, informed by our prior characterization of the oyster heat-stress response (George et al. 2023), include targets for energy sensing (adenylate kinase 9), apoptosis (caspase-activated DNase), nuclear envelope integrity (nesprin-1), and the chaperone HSP90. Pairing the methylomic data with the transcriptomic data evaluates whether epigenetic marks are associated with gene expression. Identified associations can then be investigated in future work </w:t>
      </w:r>
      <w:r w:rsidR="00EF08EA">
        <w:t>with</w:t>
      </w:r>
      <w:r>
        <w:t xml:space="preserve"> demethylating agents to prove causation.</w:t>
      </w:r>
    </w:p>
    <w:p w14:paraId="44300E5C" w14:textId="2BA59033" w:rsidR="00C42CAF" w:rsidRDefault="00FF123D" w:rsidP="00D8023A">
      <w:pPr>
        <w:spacing w:before="140" w:after="60" w:line="264" w:lineRule="auto"/>
      </w:pPr>
      <w:r>
        <w:rPr>
          <w:b/>
          <w:bCs/>
        </w:rPr>
        <w:t>Timeline (18 months)</w:t>
      </w:r>
    </w:p>
    <w:p w14:paraId="44300E5D" w14:textId="77777777" w:rsidR="00C42CAF" w:rsidRDefault="00FF123D">
      <w:pPr>
        <w:spacing w:after="140" w:line="264" w:lineRule="auto"/>
        <w:jc w:val="both"/>
      </w:pPr>
      <w:r>
        <w:t xml:space="preserve">Months 1 to 4: husbandry, acclimation, and the Aim 1 dose-response and kinetics in the mussel, fixing the sampling time points for Aim 3. Months 3 to 9: cost assays and the fluctuating and </w:t>
      </w:r>
      <w:r>
        <w:lastRenderedPageBreak/>
        <w:t>heatwave survival trials, with cardiac phenotyping throughout. Months 5 to 14: first-hit versus second-hit sampling, Tag-Seq, and whole-genome bisulfite sequencing, run in parallel, with the oyster entering as schedule allows. Months 12 to 18: integration of methylome and transcriptome, analysis, and publication.</w:t>
      </w:r>
    </w:p>
    <w:p w14:paraId="44300E5E" w14:textId="77777777" w:rsidR="00C42CAF" w:rsidRDefault="00FF123D">
      <w:pPr>
        <w:spacing w:before="220" w:after="80" w:line="264" w:lineRule="auto"/>
      </w:pPr>
      <w:r>
        <w:rPr>
          <w:b/>
          <w:bCs/>
        </w:rPr>
        <w:t>References</w:t>
      </w:r>
    </w:p>
    <w:p w14:paraId="5A000001" w14:textId="77777777" w:rsidR="00C42CAF" w:rsidRDefault="00FF123D">
      <w:pPr>
        <w:spacing w:after="120" w:line="252" w:lineRule="auto"/>
        <w:ind w:left="720" w:hanging="720"/>
        <w:jc w:val="both"/>
      </w:pPr>
      <w:r>
        <w:t xml:space="preserve">Barshis, D. J., Ladner, J. T., Oliver, T. A., Seneca, F. O., Traylor-Knowles, N., &amp; Palumbi, S. R. (2013). Genomic basis for coral resilience to climate change. </w:t>
      </w:r>
      <w:r>
        <w:rPr>
          <w:i/>
          <w:iCs/>
        </w:rPr>
        <w:t>PNAS</w:t>
      </w:r>
      <w:r>
        <w:t xml:space="preserve"> 110, 1387-1392.</w:t>
      </w:r>
    </w:p>
    <w:p w14:paraId="5A000002" w14:textId="77777777" w:rsidR="00C42CAF" w:rsidRDefault="00FF123D">
      <w:pPr>
        <w:spacing w:after="120" w:line="252" w:lineRule="auto"/>
        <w:ind w:left="720" w:hanging="720"/>
        <w:jc w:val="both"/>
      </w:pPr>
      <w:r>
        <w:t xml:space="preserve">Bock, C., Wermter, F. C., Schalkhausser, B., Blicher, M. E., Pörtner, H.-O., Lannig, G., &amp; Sejr, M. K. (2019). In vivo 31P-MRS of muscle bioenergetics in marine invertebrates: future ocean limits scallops' performance. </w:t>
      </w:r>
      <w:r>
        <w:rPr>
          <w:i/>
          <w:iCs/>
        </w:rPr>
        <w:t>Magnetic Resonance Imaging</w:t>
      </w:r>
      <w:r>
        <w:t xml:space="preserve"> 61, 239-246.</w:t>
      </w:r>
    </w:p>
    <w:p w14:paraId="5A000003" w14:textId="77777777" w:rsidR="00C42CAF" w:rsidRDefault="00FF123D">
      <w:pPr>
        <w:spacing w:after="120" w:line="252" w:lineRule="auto"/>
        <w:ind w:left="720" w:hanging="720"/>
        <w:jc w:val="both"/>
      </w:pPr>
      <w:r>
        <w:t xml:space="preserve">Bowler, K. (2005). Acclimation, heat shock and hardening. </w:t>
      </w:r>
      <w:r>
        <w:rPr>
          <w:i/>
          <w:iCs/>
        </w:rPr>
        <w:t>Journal of Thermal Biology</w:t>
      </w:r>
      <w:r>
        <w:t xml:space="preserve"> 30, 125-130.</w:t>
      </w:r>
    </w:p>
    <w:p w14:paraId="5A000004" w14:textId="77777777" w:rsidR="00C42CAF" w:rsidRDefault="00FF123D">
      <w:pPr>
        <w:spacing w:after="120" w:line="252" w:lineRule="auto"/>
        <w:ind w:left="720" w:hanging="720"/>
        <w:jc w:val="both"/>
      </w:pPr>
      <w:r>
        <w:t xml:space="preserve">Burnett, N. P., Seabra, R., de Pirro, M., Wethey, D. S., Woodin, S. A., Helmuth, B., &amp; Lima, F. P. (2013). An improved noninvasive method for measuring heartbeat of intertidal animals. </w:t>
      </w:r>
      <w:r>
        <w:rPr>
          <w:i/>
          <w:iCs/>
        </w:rPr>
        <w:t>Limnology and Oceanography: Methods</w:t>
      </w:r>
      <w:r>
        <w:t xml:space="preserve"> 11, 91-100.</w:t>
      </w:r>
    </w:p>
    <w:p w14:paraId="5A000005" w14:textId="77777777" w:rsidR="00C42CAF" w:rsidRDefault="00FF123D">
      <w:pPr>
        <w:spacing w:after="120" w:line="252" w:lineRule="auto"/>
        <w:ind w:left="720" w:hanging="720"/>
        <w:jc w:val="both"/>
      </w:pPr>
      <w:r>
        <w:t xml:space="preserve">Denny, M. (2017). The fallacy of the average: on the ubiquity, utility and continuing novelty of Jensen's inequality. </w:t>
      </w:r>
      <w:r>
        <w:rPr>
          <w:i/>
          <w:iCs/>
        </w:rPr>
        <w:t>Journal of Experimental Biology</w:t>
      </w:r>
      <w:r>
        <w:t xml:space="preserve"> 220, 139-146.</w:t>
      </w:r>
    </w:p>
    <w:p w14:paraId="5A000006" w14:textId="77777777" w:rsidR="00C42CAF" w:rsidRDefault="00FF123D">
      <w:pPr>
        <w:spacing w:after="120" w:line="252" w:lineRule="auto"/>
        <w:ind w:left="720" w:hanging="720"/>
        <w:jc w:val="both"/>
      </w:pPr>
      <w:r>
        <w:t xml:space="preserve">Deutsch, C. A., Tewksbury, J. J., Huey, R. B., Sheldon, K. S., Ghalambor, C. K., Haak, D. C., &amp; Martin, P. R. (2008). Impacts of climate warming on terrestrial ectotherms across latitude. </w:t>
      </w:r>
      <w:r>
        <w:rPr>
          <w:i/>
          <w:iCs/>
        </w:rPr>
        <w:t>PNAS</w:t>
      </w:r>
      <w:r>
        <w:t xml:space="preserve"> 105 (Suppl. 2), 6668-6672.</w:t>
      </w:r>
    </w:p>
    <w:p w14:paraId="5A000007" w14:textId="77777777" w:rsidR="00C42CAF" w:rsidRDefault="00FF123D">
      <w:pPr>
        <w:spacing w:after="120" w:line="252" w:lineRule="auto"/>
        <w:ind w:left="720" w:hanging="720"/>
        <w:jc w:val="both"/>
      </w:pPr>
      <w:r>
        <w:t xml:space="preserve">Dowd, W. W., King, F. A., &amp; Denny, M. W. (2015). Thermal variation, thermal extremes and the physiological performance of individuals. </w:t>
      </w:r>
      <w:r>
        <w:rPr>
          <w:i/>
          <w:iCs/>
        </w:rPr>
        <w:t>Journal of Experimental Biology</w:t>
      </w:r>
      <w:r>
        <w:t xml:space="preserve"> 218, 1956-1967.</w:t>
      </w:r>
    </w:p>
    <w:p w14:paraId="5A000008" w14:textId="77777777" w:rsidR="00C42CAF" w:rsidRDefault="00FF123D">
      <w:pPr>
        <w:spacing w:after="120" w:line="252" w:lineRule="auto"/>
        <w:ind w:left="720" w:hanging="720"/>
        <w:jc w:val="both"/>
      </w:pPr>
      <w:r>
        <w:t xml:space="preserve">D'Urso, A., &amp; Brickner, J. H. (2014). Mechanisms of epigenetic memory. </w:t>
      </w:r>
      <w:r>
        <w:rPr>
          <w:i/>
          <w:iCs/>
        </w:rPr>
        <w:t>Trends in Genetics</w:t>
      </w:r>
      <w:r>
        <w:t xml:space="preserve"> 30, 230-236.</w:t>
      </w:r>
    </w:p>
    <w:p w14:paraId="5A000009" w14:textId="77777777" w:rsidR="00C42CAF" w:rsidRDefault="00FF123D">
      <w:pPr>
        <w:spacing w:after="120" w:line="252" w:lineRule="auto"/>
        <w:ind w:left="720" w:hanging="720"/>
        <w:jc w:val="both"/>
      </w:pPr>
      <w:r>
        <w:t xml:space="preserve">Eirin-Lopez, J. M., &amp; Putnam, H. M. (2019). Marine environmental epigenetics. </w:t>
      </w:r>
      <w:r>
        <w:rPr>
          <w:i/>
          <w:iCs/>
        </w:rPr>
        <w:t>Annual Review of Marine Science</w:t>
      </w:r>
      <w:r>
        <w:t xml:space="preserve"> 11, 335-368.</w:t>
      </w:r>
    </w:p>
    <w:p w14:paraId="5A00000A" w14:textId="77777777" w:rsidR="00C42CAF" w:rsidRDefault="00FF123D">
      <w:pPr>
        <w:spacing w:after="120" w:line="252" w:lineRule="auto"/>
        <w:ind w:left="720" w:hanging="720"/>
        <w:jc w:val="both"/>
      </w:pPr>
      <w:r>
        <w:t>Gavery, M. R., &amp; Roberts, S. B. (2010). DNA methylation patterns provide insight into epigenetic regulation in the Pacific oyster (</w:t>
      </w:r>
      <w:r>
        <w:rPr>
          <w:i/>
          <w:iCs/>
        </w:rPr>
        <w:t>Crassostrea gigas</w:t>
      </w:r>
      <w:r>
        <w:t xml:space="preserve">). </w:t>
      </w:r>
      <w:r>
        <w:rPr>
          <w:i/>
          <w:iCs/>
        </w:rPr>
        <w:t>BMC Genomics</w:t>
      </w:r>
      <w:r>
        <w:t xml:space="preserve"> 11, 483.</w:t>
      </w:r>
    </w:p>
    <w:p w14:paraId="5A00000B" w14:textId="77777777" w:rsidR="00C42CAF" w:rsidRDefault="00FF123D">
      <w:pPr>
        <w:spacing w:after="120" w:line="252" w:lineRule="auto"/>
        <w:ind w:left="720" w:hanging="720"/>
        <w:jc w:val="both"/>
      </w:pPr>
      <w:r>
        <w:t xml:space="preserve">Gavery, M. R., &amp; Roberts, S. B. (2017). Epigenetic considerations in aquaculture. </w:t>
      </w:r>
      <w:r>
        <w:rPr>
          <w:i/>
          <w:iCs/>
        </w:rPr>
        <w:t>PeerJ</w:t>
      </w:r>
      <w:r>
        <w:t xml:space="preserve"> 5, e4147.</w:t>
      </w:r>
    </w:p>
    <w:p w14:paraId="5A00000C" w14:textId="77777777" w:rsidR="00C42CAF" w:rsidRDefault="00FF123D">
      <w:pPr>
        <w:spacing w:after="120" w:line="252" w:lineRule="auto"/>
        <w:ind w:left="720" w:hanging="720"/>
        <w:jc w:val="both"/>
      </w:pPr>
      <w:r>
        <w:t xml:space="preserve">George, M. N., Cattau, O., Middleton, M. A., Lawson, D., Vadopalas, B., Gavery, M., &amp; Roberts, S. B. (2023). Triploid Pacific oysters exhibit stress response dysregulation and elevated mortality following heatwaves. </w:t>
      </w:r>
      <w:r>
        <w:rPr>
          <w:i/>
          <w:iCs/>
        </w:rPr>
        <w:t>Global Change Biology</w:t>
      </w:r>
      <w:r>
        <w:t xml:space="preserve"> 29, 6969-6987.</w:t>
      </w:r>
    </w:p>
    <w:p w14:paraId="5A00000D" w14:textId="77777777" w:rsidR="00C42CAF" w:rsidRDefault="00FF123D">
      <w:pPr>
        <w:spacing w:after="120" w:line="252" w:lineRule="auto"/>
        <w:ind w:left="720" w:hanging="720"/>
        <w:jc w:val="both"/>
      </w:pPr>
      <w:r>
        <w:t xml:space="preserve">Georgoulis, I., Bock, C., Lannig, G., Pörtner, H.-O., Sokolova, I. M., Feidantsis, K., Giantsis, I. A., &amp; Michaelidis, B. (2023). Heat hardening enhances metabolite-driven thermoprotection in the Mediterranean mussel </w:t>
      </w:r>
      <w:r>
        <w:rPr>
          <w:i/>
          <w:iCs/>
        </w:rPr>
        <w:t>Mytilus galloprovincialis</w:t>
      </w:r>
      <w:r>
        <w:t xml:space="preserve">. </w:t>
      </w:r>
      <w:r>
        <w:rPr>
          <w:i/>
          <w:iCs/>
        </w:rPr>
        <w:t>Frontiers in Physiology</w:t>
      </w:r>
      <w:r>
        <w:t xml:space="preserve"> 14, 1244314.</w:t>
      </w:r>
    </w:p>
    <w:p w14:paraId="5A00000E" w14:textId="77777777" w:rsidR="00C42CAF" w:rsidRDefault="00FF123D">
      <w:pPr>
        <w:spacing w:after="120" w:line="252" w:lineRule="auto"/>
        <w:ind w:left="720" w:hanging="720"/>
        <w:jc w:val="both"/>
      </w:pPr>
      <w:r>
        <w:t xml:space="preserve">Götze, S., Eymann, C., Reddin, C. J., Lannig, G., Bock, C., &amp; Pörtner, H.-O. (2025). Combined climate stressors constrain various mechanisms for thermal tolerance in the scallop </w:t>
      </w:r>
      <w:r>
        <w:rPr>
          <w:i/>
          <w:iCs/>
        </w:rPr>
        <w:t>Pecten maximus</w:t>
      </w:r>
      <w:r>
        <w:t xml:space="preserve">. </w:t>
      </w:r>
      <w:r>
        <w:rPr>
          <w:i/>
          <w:iCs/>
        </w:rPr>
        <w:t>Journal of Experimental Biology</w:t>
      </w:r>
      <w:r>
        <w:t xml:space="preserve"> 228, jeb250291.</w:t>
      </w:r>
    </w:p>
    <w:p w14:paraId="5A00000F" w14:textId="77777777" w:rsidR="00C42CAF" w:rsidRDefault="00FF123D">
      <w:pPr>
        <w:spacing w:after="120" w:line="252" w:lineRule="auto"/>
        <w:ind w:left="720" w:hanging="720"/>
        <w:jc w:val="both"/>
      </w:pPr>
      <w:r>
        <w:t>Hamdoun, A. M., Cheney, D. P., &amp; Cherr, G. N. (2003). Phenotypic plasticity of HSP70 and HSP70 gene expression in the Pacific oyster (</w:t>
      </w:r>
      <w:r>
        <w:rPr>
          <w:i/>
          <w:iCs/>
        </w:rPr>
        <w:t>Crassostrea gigas</w:t>
      </w:r>
      <w:r>
        <w:t xml:space="preserve">): implications for thermal limits and induction of thermal tolerance. </w:t>
      </w:r>
      <w:r>
        <w:rPr>
          <w:i/>
          <w:iCs/>
        </w:rPr>
        <w:t>Biological Bulletin</w:t>
      </w:r>
      <w:r>
        <w:t xml:space="preserve"> 205, 160-169.</w:t>
      </w:r>
    </w:p>
    <w:p w14:paraId="5A000010" w14:textId="77777777" w:rsidR="00C42CAF" w:rsidRDefault="00FF123D">
      <w:pPr>
        <w:spacing w:after="120" w:line="252" w:lineRule="auto"/>
        <w:ind w:left="720" w:hanging="720"/>
        <w:jc w:val="both"/>
      </w:pPr>
      <w:r>
        <w:lastRenderedPageBreak/>
        <w:t xml:space="preserve">Hoffmann, A. A., &amp; Sgrò, C. M. (2011). Climate change and evolutionary adaptation. </w:t>
      </w:r>
      <w:r>
        <w:rPr>
          <w:i/>
          <w:iCs/>
        </w:rPr>
        <w:t>Nature</w:t>
      </w:r>
      <w:r>
        <w:t xml:space="preserve"> 470, 479-485.</w:t>
      </w:r>
    </w:p>
    <w:p w14:paraId="5A000011" w14:textId="77777777" w:rsidR="00C42CAF" w:rsidRDefault="00FF123D">
      <w:pPr>
        <w:spacing w:after="120" w:line="252" w:lineRule="auto"/>
        <w:ind w:left="720" w:hanging="720"/>
        <w:jc w:val="both"/>
      </w:pPr>
      <w:r>
        <w:t xml:space="preserve">Hofmann, G. E. (1999). Ecologically relevant variation in induction and function of heat shock proteins in marine organisms. </w:t>
      </w:r>
      <w:r>
        <w:rPr>
          <w:i/>
          <w:iCs/>
        </w:rPr>
        <w:t>American Zoologist</w:t>
      </w:r>
      <w:r>
        <w:t xml:space="preserve"> 39, 889-900.</w:t>
      </w:r>
    </w:p>
    <w:p w14:paraId="5A0000FF" w14:textId="77777777" w:rsidR="00C42CAF" w:rsidRDefault="00FF123D">
      <w:pPr>
        <w:spacing w:after="120" w:line="252" w:lineRule="auto"/>
        <w:ind w:left="720" w:hanging="720"/>
        <w:jc w:val="both"/>
      </w:pPr>
      <w:r>
        <w:t xml:space="preserve">Jackson, S. A., Uhlinger, K. R., &amp; Clegg, J. S. (2011). Duration of induced thermal tolerance and tissue-specific expression of hsp/hsc70 in the eastern oyster, </w:t>
      </w:r>
      <w:r>
        <w:rPr>
          <w:i/>
          <w:iCs/>
        </w:rPr>
        <w:t>Crassostrea virginica</w:t>
      </w:r>
      <w:r>
        <w:t xml:space="preserve"> and the Pacific oyster, </w:t>
      </w:r>
      <w:r>
        <w:rPr>
          <w:i/>
          <w:iCs/>
        </w:rPr>
        <w:t>Crassostrea gigas</w:t>
      </w:r>
      <w:r>
        <w:t xml:space="preserve">. </w:t>
      </w:r>
      <w:r>
        <w:rPr>
          <w:i/>
          <w:iCs/>
        </w:rPr>
        <w:t>Aquaculture</w:t>
      </w:r>
      <w:r>
        <w:t xml:space="preserve"> 317, 168-174.</w:t>
      </w:r>
    </w:p>
    <w:p w14:paraId="5A000012" w14:textId="77777777" w:rsidR="00C42CAF" w:rsidRDefault="00FF123D">
      <w:pPr>
        <w:spacing w:after="120" w:line="252" w:lineRule="auto"/>
        <w:ind w:left="720" w:hanging="720"/>
        <w:jc w:val="both"/>
      </w:pPr>
      <w:r>
        <w:t xml:space="preserve">Lockwood, B. L., Connor, K. M., &amp; Gracey, A. Y. (2015). The environmentally tuned transcriptomes of </w:t>
      </w:r>
      <w:r>
        <w:rPr>
          <w:i/>
          <w:iCs/>
        </w:rPr>
        <w:t>Mytilus</w:t>
      </w:r>
      <w:r>
        <w:t xml:space="preserve"> mussels. </w:t>
      </w:r>
      <w:r>
        <w:rPr>
          <w:i/>
          <w:iCs/>
        </w:rPr>
        <w:t>Journal of Experimental Biology</w:t>
      </w:r>
      <w:r>
        <w:t xml:space="preserve"> 218, 1822-1833.</w:t>
      </w:r>
    </w:p>
    <w:p w14:paraId="5A000013" w14:textId="77777777" w:rsidR="00C42CAF" w:rsidRDefault="00FF123D">
      <w:pPr>
        <w:spacing w:after="120" w:line="252" w:lineRule="auto"/>
        <w:ind w:left="720" w:hanging="720"/>
        <w:jc w:val="both"/>
      </w:pPr>
      <w:r>
        <w:t xml:space="preserve">Mark, F. C., Bock, C., &amp; Pörtner, H.-O. (2002). Oxygen-limited thermal tolerance in Antarctic fish investigated by MRI and 31P-MRS. </w:t>
      </w:r>
      <w:r>
        <w:rPr>
          <w:i/>
          <w:iCs/>
        </w:rPr>
        <w:t>American Journal of Physiology-Regulatory, Integrative and Comparative Physiology</w:t>
      </w:r>
      <w:r>
        <w:t xml:space="preserve"> 283, R1254-R1262.</w:t>
      </w:r>
    </w:p>
    <w:p w14:paraId="5A000014" w14:textId="77777777" w:rsidR="00C42CAF" w:rsidRDefault="00FF123D">
      <w:pPr>
        <w:spacing w:after="120" w:line="252" w:lineRule="auto"/>
        <w:ind w:left="720" w:hanging="720"/>
        <w:jc w:val="both"/>
      </w:pPr>
      <w:r>
        <w:t xml:space="preserve">Meistertzheim, A.-L., Tanguy, A., Moraga, D., &amp; Thébault, M.-T. (2007). Identification of differentially expressed genes of the Pacific oyster </w:t>
      </w:r>
      <w:r>
        <w:rPr>
          <w:i/>
          <w:iCs/>
        </w:rPr>
        <w:t>Crassostrea gigas</w:t>
      </w:r>
      <w:r>
        <w:t xml:space="preserve"> exposed to prolonged thermal stress. </w:t>
      </w:r>
      <w:r>
        <w:rPr>
          <w:i/>
          <w:iCs/>
        </w:rPr>
        <w:t>The FEBS Journal</w:t>
      </w:r>
      <w:r>
        <w:t xml:space="preserve"> 274, 6392-6402.</w:t>
      </w:r>
    </w:p>
    <w:p w14:paraId="5A000015" w14:textId="77777777" w:rsidR="00C42CAF" w:rsidRDefault="00FF123D">
      <w:pPr>
        <w:spacing w:after="120" w:line="252" w:lineRule="auto"/>
        <w:ind w:left="720" w:hanging="720"/>
        <w:jc w:val="both"/>
      </w:pPr>
      <w:r>
        <w:t xml:space="preserve">Moyen, N. E., Somero, G. N., &amp; Denny, M. W. (2019). Impact of heating rate on cardiac thermal tolerance in the California mussel, </w:t>
      </w:r>
      <w:r>
        <w:rPr>
          <w:i/>
          <w:iCs/>
        </w:rPr>
        <w:t>Mytilus californianus</w:t>
      </w:r>
      <w:r>
        <w:t xml:space="preserve">. </w:t>
      </w:r>
      <w:r>
        <w:rPr>
          <w:i/>
          <w:iCs/>
        </w:rPr>
        <w:t>Journal of Experimental Biology</w:t>
      </w:r>
      <w:r>
        <w:t xml:space="preserve"> 222, jeb203166.</w:t>
      </w:r>
    </w:p>
    <w:p w14:paraId="5A000016" w14:textId="77777777" w:rsidR="00C42CAF" w:rsidRDefault="00FF123D">
      <w:pPr>
        <w:spacing w:after="120" w:line="252" w:lineRule="auto"/>
        <w:ind w:left="720" w:hanging="720"/>
        <w:jc w:val="both"/>
      </w:pPr>
      <w:r>
        <w:t xml:space="preserve">Moyen, N. E., Crane, R. L., Somero, G. N., &amp; Denny, M. W. (2020). A single heat-stress bout induces rapid and prolonged heat acclimation in the California mussel, </w:t>
      </w:r>
      <w:r>
        <w:rPr>
          <w:i/>
          <w:iCs/>
        </w:rPr>
        <w:t>Mytilus californianus</w:t>
      </w:r>
      <w:r>
        <w:t xml:space="preserve">. </w:t>
      </w:r>
      <w:r>
        <w:rPr>
          <w:i/>
          <w:iCs/>
        </w:rPr>
        <w:t>Proceedings of the Royal Society B</w:t>
      </w:r>
      <w:r>
        <w:t xml:space="preserve"> 287, 20202561.</w:t>
      </w:r>
    </w:p>
    <w:p w14:paraId="5A000017" w14:textId="77777777" w:rsidR="00C42CAF" w:rsidRDefault="00FF123D">
      <w:pPr>
        <w:spacing w:after="120" w:line="252" w:lineRule="auto"/>
        <w:ind w:left="720" w:hanging="720"/>
        <w:jc w:val="both"/>
      </w:pPr>
      <w:r>
        <w:t xml:space="preserve">Moyen, N. E., Somero, G. N., &amp; Denny, M. W. (2022). Effects of heat acclimation on cardiac function in the intertidal mussel </w:t>
      </w:r>
      <w:r>
        <w:rPr>
          <w:i/>
          <w:iCs/>
        </w:rPr>
        <w:t>Mytilus californianus</w:t>
      </w:r>
      <w:r>
        <w:t xml:space="preserve">: can laboratory-based indices predict survival in the field? </w:t>
      </w:r>
      <w:r>
        <w:rPr>
          <w:i/>
          <w:iCs/>
        </w:rPr>
        <w:t>Journal of Experimental Biology</w:t>
      </w:r>
      <w:r>
        <w:t xml:space="preserve"> 225, jeb243050.</w:t>
      </w:r>
    </w:p>
    <w:p w14:paraId="5A000018" w14:textId="77777777" w:rsidR="00C42CAF" w:rsidRDefault="00FF123D">
      <w:pPr>
        <w:spacing w:after="120" w:line="252" w:lineRule="auto"/>
        <w:ind w:left="720" w:hanging="720"/>
        <w:jc w:val="both"/>
      </w:pPr>
      <w:r>
        <w:t xml:space="preserve">Pinsky, M. L., Eikeset, A. M., McCauley, D. J., Payne, J. L., &amp; Sunday, J. M. (2019). Greater vulnerability to warming of marine versus terrestrial ectotherms. </w:t>
      </w:r>
      <w:r>
        <w:rPr>
          <w:i/>
          <w:iCs/>
        </w:rPr>
        <w:t>Nature</w:t>
      </w:r>
      <w:r>
        <w:t xml:space="preserve"> 569, 108-111.</w:t>
      </w:r>
    </w:p>
    <w:p w14:paraId="5A000019" w14:textId="77777777" w:rsidR="00C42CAF" w:rsidRDefault="00FF123D">
      <w:pPr>
        <w:spacing w:after="120" w:line="252" w:lineRule="auto"/>
        <w:ind w:left="720" w:hanging="720"/>
        <w:jc w:val="both"/>
      </w:pPr>
      <w:r>
        <w:t xml:space="preserve">Sartoris, F. J., Bock, C., &amp; Pörtner, H.-O. (2003). Temperature-dependent pH regulation in eurythermal and stenothermal marine fish: an interspecies comparison using 31P-NMR. </w:t>
      </w:r>
      <w:r>
        <w:rPr>
          <w:i/>
          <w:iCs/>
        </w:rPr>
        <w:t>Journal of Thermal Biology</w:t>
      </w:r>
      <w:r>
        <w:t xml:space="preserve"> 28, 363-371.</w:t>
      </w:r>
    </w:p>
    <w:p w14:paraId="5A00001A" w14:textId="77777777" w:rsidR="00C42CAF" w:rsidRDefault="00FF123D">
      <w:pPr>
        <w:spacing w:after="120" w:line="252" w:lineRule="auto"/>
        <w:ind w:left="720" w:hanging="720"/>
        <w:jc w:val="both"/>
      </w:pPr>
      <w:r>
        <w:t xml:space="preserve">Sokolova, I. M. (2013). Energy-limited tolerance to stress as a conceptual framework to integrate the effects of multiple stressors. </w:t>
      </w:r>
      <w:r>
        <w:rPr>
          <w:i/>
          <w:iCs/>
        </w:rPr>
        <w:t>Integrative and Comparative Biology</w:t>
      </w:r>
      <w:r>
        <w:t xml:space="preserve"> 53, 597-608.</w:t>
      </w:r>
    </w:p>
    <w:p w14:paraId="5A00001B" w14:textId="77777777" w:rsidR="00C42CAF" w:rsidRDefault="00FF123D">
      <w:pPr>
        <w:spacing w:after="120" w:line="252" w:lineRule="auto"/>
        <w:ind w:left="720" w:hanging="720"/>
        <w:jc w:val="both"/>
      </w:pPr>
      <w:r>
        <w:t>Wang, X., Li, A., Wang, W., Que, H., Zhang, G., &amp; Li, L. (2021). DNA methylation mediates differentiation in thermal responses of Pacific oyster (</w:t>
      </w:r>
      <w:r>
        <w:rPr>
          <w:i/>
          <w:iCs/>
        </w:rPr>
        <w:t>Crassostrea gigas</w:t>
      </w:r>
      <w:r>
        <w:t xml:space="preserve">) derived from different tidal levels. </w:t>
      </w:r>
      <w:r>
        <w:rPr>
          <w:i/>
          <w:iCs/>
        </w:rPr>
        <w:t>Heredity</w:t>
      </w:r>
      <w:r>
        <w:t xml:space="preserve"> 126, 10-22.</w:t>
      </w:r>
    </w:p>
    <w:sectPr w:rsidR="00C42CAF">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lix C Mark" w:date="2026-07-18T11:50:00Z" w:initials="FCM">
    <w:p w14:paraId="2E7F13E3" w14:textId="501D9755" w:rsidR="009529ED" w:rsidRDefault="009529ED">
      <w:pPr>
        <w:pStyle w:val="Kommentartext"/>
      </w:pPr>
      <w:r>
        <w:rPr>
          <w:rStyle w:val="Kommentarzeichen"/>
        </w:rPr>
        <w:annotationRef/>
      </w:r>
      <w:r>
        <w:t>Maybe leave that open for the moment, just write ‘respirometry’ and decide later whether to use closed, flow-through or intermittent-flow respirometry?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7F13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3BCC2F" w16cex:dateUtc="2026-07-18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7F13E3" w16cid:durableId="253BCC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723"/>
    <w:multiLevelType w:val="hybridMultilevel"/>
    <w:tmpl w:val="77F204F6"/>
    <w:lvl w:ilvl="0" w:tplc="9BE2A012">
      <w:start w:val="1"/>
      <w:numFmt w:val="bullet"/>
      <w:lvlText w:val="●"/>
      <w:lvlJc w:val="left"/>
      <w:pPr>
        <w:ind w:left="720" w:hanging="360"/>
      </w:pPr>
    </w:lvl>
    <w:lvl w:ilvl="1" w:tplc="82D4930E">
      <w:start w:val="1"/>
      <w:numFmt w:val="bullet"/>
      <w:lvlText w:val="○"/>
      <w:lvlJc w:val="left"/>
      <w:pPr>
        <w:ind w:left="1440" w:hanging="360"/>
      </w:pPr>
    </w:lvl>
    <w:lvl w:ilvl="2" w:tplc="EA9287BE">
      <w:start w:val="1"/>
      <w:numFmt w:val="bullet"/>
      <w:lvlText w:val="■"/>
      <w:lvlJc w:val="left"/>
      <w:pPr>
        <w:ind w:left="2160" w:hanging="360"/>
      </w:pPr>
    </w:lvl>
    <w:lvl w:ilvl="3" w:tplc="F98044C6">
      <w:start w:val="1"/>
      <w:numFmt w:val="bullet"/>
      <w:lvlText w:val="●"/>
      <w:lvlJc w:val="left"/>
      <w:pPr>
        <w:ind w:left="2880" w:hanging="360"/>
      </w:pPr>
    </w:lvl>
    <w:lvl w:ilvl="4" w:tplc="DD3604B0">
      <w:start w:val="1"/>
      <w:numFmt w:val="bullet"/>
      <w:lvlText w:val="○"/>
      <w:lvlJc w:val="left"/>
      <w:pPr>
        <w:ind w:left="3600" w:hanging="360"/>
      </w:pPr>
    </w:lvl>
    <w:lvl w:ilvl="5" w:tplc="1162363C">
      <w:start w:val="1"/>
      <w:numFmt w:val="bullet"/>
      <w:lvlText w:val="■"/>
      <w:lvlJc w:val="left"/>
      <w:pPr>
        <w:ind w:left="4320" w:hanging="360"/>
      </w:pPr>
    </w:lvl>
    <w:lvl w:ilvl="6" w:tplc="EEE2180A">
      <w:start w:val="1"/>
      <w:numFmt w:val="bullet"/>
      <w:lvlText w:val="●"/>
      <w:lvlJc w:val="left"/>
      <w:pPr>
        <w:ind w:left="5040" w:hanging="360"/>
      </w:pPr>
    </w:lvl>
    <w:lvl w:ilvl="7" w:tplc="BA140B80">
      <w:start w:val="1"/>
      <w:numFmt w:val="bullet"/>
      <w:lvlText w:val="●"/>
      <w:lvlJc w:val="left"/>
      <w:pPr>
        <w:ind w:left="5760" w:hanging="360"/>
      </w:pPr>
    </w:lvl>
    <w:lvl w:ilvl="8" w:tplc="82962E8A">
      <w:start w:val="1"/>
      <w:numFmt w:val="bullet"/>
      <w:lvlText w:val="●"/>
      <w:lvlJc w:val="left"/>
      <w:pPr>
        <w:ind w:left="6480" w:hanging="360"/>
      </w:pPr>
    </w:lvl>
  </w:abstractNum>
  <w:num w:numId="1" w16cid:durableId="12657641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x C Mark">
    <w15:presenceInfo w15:providerId="None" w15:userId="Felix C Ma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AF"/>
    <w:rsid w:val="000970DD"/>
    <w:rsid w:val="000B17E3"/>
    <w:rsid w:val="000E5FD4"/>
    <w:rsid w:val="00117AF5"/>
    <w:rsid w:val="00123C3F"/>
    <w:rsid w:val="00167644"/>
    <w:rsid w:val="001974A1"/>
    <w:rsid w:val="001B5458"/>
    <w:rsid w:val="001C2ADA"/>
    <w:rsid w:val="001C5E53"/>
    <w:rsid w:val="001D770B"/>
    <w:rsid w:val="00233785"/>
    <w:rsid w:val="00241748"/>
    <w:rsid w:val="002507E0"/>
    <w:rsid w:val="002653F2"/>
    <w:rsid w:val="002837AF"/>
    <w:rsid w:val="00292CD3"/>
    <w:rsid w:val="002E48C9"/>
    <w:rsid w:val="00332732"/>
    <w:rsid w:val="00367CCD"/>
    <w:rsid w:val="003973C4"/>
    <w:rsid w:val="00415290"/>
    <w:rsid w:val="00420541"/>
    <w:rsid w:val="004214B8"/>
    <w:rsid w:val="00422361"/>
    <w:rsid w:val="00424A7B"/>
    <w:rsid w:val="00431DDF"/>
    <w:rsid w:val="00470C5A"/>
    <w:rsid w:val="004A5A20"/>
    <w:rsid w:val="004D10E7"/>
    <w:rsid w:val="004E65B1"/>
    <w:rsid w:val="004F66B5"/>
    <w:rsid w:val="00514016"/>
    <w:rsid w:val="0054147F"/>
    <w:rsid w:val="00554E1E"/>
    <w:rsid w:val="0058158C"/>
    <w:rsid w:val="005A7093"/>
    <w:rsid w:val="005C716A"/>
    <w:rsid w:val="005D200A"/>
    <w:rsid w:val="006646E5"/>
    <w:rsid w:val="006723CB"/>
    <w:rsid w:val="00684A2E"/>
    <w:rsid w:val="00686D2C"/>
    <w:rsid w:val="00690C2A"/>
    <w:rsid w:val="00690FE1"/>
    <w:rsid w:val="00692329"/>
    <w:rsid w:val="006B07AC"/>
    <w:rsid w:val="006B1CE1"/>
    <w:rsid w:val="006E062F"/>
    <w:rsid w:val="006F5E10"/>
    <w:rsid w:val="00712A99"/>
    <w:rsid w:val="00712AE2"/>
    <w:rsid w:val="0076255A"/>
    <w:rsid w:val="0079121C"/>
    <w:rsid w:val="007B42BD"/>
    <w:rsid w:val="007B685D"/>
    <w:rsid w:val="008035AE"/>
    <w:rsid w:val="008417EB"/>
    <w:rsid w:val="00862FBF"/>
    <w:rsid w:val="00871626"/>
    <w:rsid w:val="00874514"/>
    <w:rsid w:val="008C6643"/>
    <w:rsid w:val="008C7DD6"/>
    <w:rsid w:val="00907F30"/>
    <w:rsid w:val="009529ED"/>
    <w:rsid w:val="009768C6"/>
    <w:rsid w:val="009A2C5A"/>
    <w:rsid w:val="009D5FEB"/>
    <w:rsid w:val="009E6F93"/>
    <w:rsid w:val="009F27E8"/>
    <w:rsid w:val="00A057DF"/>
    <w:rsid w:val="00A664A8"/>
    <w:rsid w:val="00AC1E77"/>
    <w:rsid w:val="00AC7952"/>
    <w:rsid w:val="00AD45CF"/>
    <w:rsid w:val="00B629E7"/>
    <w:rsid w:val="00B67E4B"/>
    <w:rsid w:val="00B86940"/>
    <w:rsid w:val="00BE756D"/>
    <w:rsid w:val="00BF041D"/>
    <w:rsid w:val="00BF57FC"/>
    <w:rsid w:val="00C064C5"/>
    <w:rsid w:val="00C06814"/>
    <w:rsid w:val="00C111E9"/>
    <w:rsid w:val="00C166EE"/>
    <w:rsid w:val="00C20C46"/>
    <w:rsid w:val="00C35BEA"/>
    <w:rsid w:val="00C377A8"/>
    <w:rsid w:val="00C42CAF"/>
    <w:rsid w:val="00C4319A"/>
    <w:rsid w:val="00C90496"/>
    <w:rsid w:val="00CB15B0"/>
    <w:rsid w:val="00CC1071"/>
    <w:rsid w:val="00CD7383"/>
    <w:rsid w:val="00CE71D1"/>
    <w:rsid w:val="00CF41AE"/>
    <w:rsid w:val="00D53B7B"/>
    <w:rsid w:val="00D8023A"/>
    <w:rsid w:val="00D93A19"/>
    <w:rsid w:val="00DB67C1"/>
    <w:rsid w:val="00E15004"/>
    <w:rsid w:val="00E22BF6"/>
    <w:rsid w:val="00E474C1"/>
    <w:rsid w:val="00E51EDD"/>
    <w:rsid w:val="00E63F91"/>
    <w:rsid w:val="00E66C2E"/>
    <w:rsid w:val="00E95039"/>
    <w:rsid w:val="00EA26B4"/>
    <w:rsid w:val="00EB1AB4"/>
    <w:rsid w:val="00EB4F2E"/>
    <w:rsid w:val="00EE621D"/>
    <w:rsid w:val="00EE6432"/>
    <w:rsid w:val="00EF08EA"/>
    <w:rsid w:val="00F039A4"/>
    <w:rsid w:val="00F42A25"/>
    <w:rsid w:val="00F50AF5"/>
    <w:rsid w:val="00F538E5"/>
    <w:rsid w:val="00F56F43"/>
    <w:rsid w:val="00F81C4D"/>
    <w:rsid w:val="00F92D67"/>
    <w:rsid w:val="00FE6FCB"/>
    <w:rsid w:val="00FF1188"/>
    <w:rsid w:val="00FF123D"/>
    <w:rsid w:val="00FF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0E42"/>
  <w15:docId w15:val="{8C9B7A50-004B-445D-9844-0A9DB288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NichtaufgelsteErwhnung">
    <w:name w:val="Unresolved Mention"/>
    <w:basedOn w:val="Absatz-Standardschriftart"/>
    <w:uiPriority w:val="99"/>
    <w:semiHidden/>
    <w:unhideWhenUsed/>
    <w:rsid w:val="00241748"/>
    <w:rPr>
      <w:color w:val="605E5C"/>
      <w:shd w:val="clear" w:color="auto" w:fill="E1DFDD"/>
    </w:rPr>
  </w:style>
  <w:style w:type="paragraph" w:styleId="berarbeitung">
    <w:name w:val="Revision"/>
    <w:hidden/>
    <w:uiPriority w:val="99"/>
    <w:semiHidden/>
    <w:rsid w:val="009529ED"/>
  </w:style>
  <w:style w:type="character" w:styleId="Kommentarzeichen">
    <w:name w:val="annotation reference"/>
    <w:basedOn w:val="Absatz-Standardschriftart"/>
    <w:uiPriority w:val="99"/>
    <w:semiHidden/>
    <w:unhideWhenUsed/>
    <w:rsid w:val="009529ED"/>
    <w:rPr>
      <w:sz w:val="16"/>
      <w:szCs w:val="16"/>
    </w:rPr>
  </w:style>
  <w:style w:type="paragraph" w:styleId="Kommentartext">
    <w:name w:val="annotation text"/>
    <w:basedOn w:val="Standard"/>
    <w:link w:val="KommentartextZchn"/>
    <w:uiPriority w:val="99"/>
    <w:semiHidden/>
    <w:unhideWhenUsed/>
    <w:rsid w:val="009529ED"/>
    <w:rPr>
      <w:sz w:val="20"/>
      <w:szCs w:val="20"/>
    </w:rPr>
  </w:style>
  <w:style w:type="character" w:customStyle="1" w:styleId="KommentartextZchn">
    <w:name w:val="Kommentartext Zchn"/>
    <w:basedOn w:val="Absatz-Standardschriftart"/>
    <w:link w:val="Kommentartext"/>
    <w:uiPriority w:val="99"/>
    <w:semiHidden/>
    <w:rsid w:val="009529ED"/>
    <w:rPr>
      <w:sz w:val="20"/>
      <w:szCs w:val="20"/>
    </w:rPr>
  </w:style>
  <w:style w:type="paragraph" w:styleId="Kommentarthema">
    <w:name w:val="annotation subject"/>
    <w:basedOn w:val="Kommentartext"/>
    <w:next w:val="Kommentartext"/>
    <w:link w:val="KommentarthemaZchn"/>
    <w:uiPriority w:val="99"/>
    <w:semiHidden/>
    <w:unhideWhenUsed/>
    <w:rsid w:val="009529ED"/>
    <w:rPr>
      <w:b/>
      <w:bCs/>
    </w:rPr>
  </w:style>
  <w:style w:type="character" w:customStyle="1" w:styleId="KommentarthemaZchn">
    <w:name w:val="Kommentarthema Zchn"/>
    <w:basedOn w:val="KommentartextZchn"/>
    <w:link w:val="Kommentarthema"/>
    <w:uiPriority w:val="99"/>
    <w:semiHidden/>
    <w:rsid w:val="009529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2320</Words>
  <Characters>14622</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C Mark</cp:lastModifiedBy>
  <cp:revision>2</cp:revision>
  <dcterms:created xsi:type="dcterms:W3CDTF">2026-07-18T10:00:00Z</dcterms:created>
  <dcterms:modified xsi:type="dcterms:W3CDTF">2026-07-18T10:00:00Z</dcterms:modified>
</cp:coreProperties>
</file>