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00E42" w14:textId="77777777" w:rsidR="00C42CAF" w:rsidRDefault="00FF123D">
      <w:pPr>
        <w:spacing w:after="200" w:line="288" w:lineRule="auto"/>
      </w:pPr>
      <w:r>
        <w:rPr>
          <w:b/>
          <w:bCs/>
          <w:sz w:val="28"/>
          <w:szCs w:val="28"/>
        </w:rPr>
        <w:t>Thermal Memory and the Dynamic Safety Margin: Epigenetic Regulation of Heat Hardening in Intertidal Bivalves</w:t>
      </w:r>
    </w:p>
    <w:p w14:paraId="44300E43" w14:textId="77777777" w:rsidR="00C42CAF" w:rsidRDefault="00FF123D">
      <w:pPr>
        <w:spacing w:after="40" w:line="264" w:lineRule="auto"/>
      </w:pPr>
      <w:r>
        <w:t>Applicant: Matthew N. George</w:t>
      </w:r>
    </w:p>
    <w:p w14:paraId="44300E44" w14:textId="77777777" w:rsidR="00C42CAF" w:rsidRDefault="00FF123D">
      <w:pPr>
        <w:spacing w:after="40" w:line="264" w:lineRule="auto"/>
      </w:pPr>
      <w:r>
        <w:t>Proposed host: Felix Christopher Mark, Alfred Wegener Institute (AWI), Bremerhaven</w:t>
      </w:r>
    </w:p>
    <w:p w14:paraId="44300E45" w14:textId="77777777" w:rsidR="00C42CAF" w:rsidRDefault="00FF123D">
      <w:pPr>
        <w:spacing w:after="40" w:line="264" w:lineRule="auto"/>
      </w:pPr>
      <w:r>
        <w:t>Collaborator: Paolo Domenici, CNR Institute of Biophysics, Italy</w:t>
      </w:r>
    </w:p>
    <w:p w14:paraId="44300E46" w14:textId="77777777" w:rsidR="00C42CAF" w:rsidRDefault="00FF123D">
      <w:pPr>
        <w:spacing w:before="220" w:after="80" w:line="264" w:lineRule="auto"/>
      </w:pPr>
      <w:r>
        <w:rPr>
          <w:b/>
          <w:bCs/>
        </w:rPr>
        <w:t>Background</w:t>
      </w:r>
    </w:p>
    <w:p w14:paraId="34F87F3A" w14:textId="77777777" w:rsidR="006B1CE1" w:rsidRDefault="004F66B5">
      <w:pPr>
        <w:spacing w:after="140" w:line="264" w:lineRule="auto"/>
        <w:jc w:val="both"/>
      </w:pPr>
      <w:r w:rsidRPr="004F66B5">
        <w:t xml:space="preserve">Warming is now proceeding faster than many populations can adapt, compressing the distance between the temperatures they experience and the limits they can tolerate (Hoffmann &amp; Sgrò 2011). </w:t>
      </w:r>
      <w:r w:rsidR="00C20C46" w:rsidRPr="00C20C46">
        <w:t xml:space="preserve">The ramifications of this compression are particularly relevant for marine ectotherms, which already live closer to their thermal maxima than terrestrial ectotherms at comparable latitudes (Pinsky et al. 2019). </w:t>
      </w:r>
      <w:r w:rsidR="00FF123D">
        <w:t>The distance between a tolerance limit and the temperature an organism experiences is commonly formalized as a thermal safety margin (Deutsch et al. 2008)</w:t>
      </w:r>
      <w:r w:rsidR="0054147F">
        <w:t xml:space="preserve">. </w:t>
      </w:r>
    </w:p>
    <w:p w14:paraId="6A33D560" w14:textId="4F513102" w:rsidR="000B17E3" w:rsidRDefault="000B17E3">
      <w:pPr>
        <w:spacing w:after="140" w:line="264" w:lineRule="auto"/>
        <w:jc w:val="both"/>
      </w:pPr>
      <w:r w:rsidRPr="000B17E3">
        <w:t>Historically treated as fixed species-level traits, thermal safety margins derived from static assays fail to account for physiological "memory" (Denny 2017; Dowd et al. 2015). Static models assume organisms respond naively to stress, but repeated sublethal exposures often induce stress "hardening" in marine invertebrates (</w:t>
      </w:r>
      <w:r w:rsidR="001C5E53" w:rsidRPr="001C5E53">
        <w:t>Hofmann, 1999</w:t>
      </w:r>
      <w:r w:rsidR="001C5E53">
        <w:t xml:space="preserve">; </w:t>
      </w:r>
      <w:r w:rsidR="001C5E53" w:rsidRPr="001C5E53">
        <w:t>Georgoulis et al., 2023</w:t>
      </w:r>
      <w:r w:rsidR="001C5E53">
        <w:t>)</w:t>
      </w:r>
      <w:r w:rsidRPr="000B17E3">
        <w:t xml:space="preserve">. </w:t>
      </w:r>
      <w:r w:rsidR="00554E1E">
        <w:t>H</w:t>
      </w:r>
      <w:r w:rsidRPr="000B17E3">
        <w:t xml:space="preserve">ardening temporarily shifts thermal limits upward </w:t>
      </w:r>
      <w:r w:rsidR="00686D2C">
        <w:t>through the development of</w:t>
      </w:r>
      <w:r w:rsidRPr="000B17E3">
        <w:t xml:space="preserve"> a protective phenotype, </w:t>
      </w:r>
      <w:r w:rsidR="00554E1E">
        <w:t>acting as a</w:t>
      </w:r>
      <w:r w:rsidRPr="000B17E3">
        <w:t xml:space="preserve"> dynamic modifier of the safety margin. </w:t>
      </w:r>
      <w:r w:rsidR="00C35BEA">
        <w:t>T</w:t>
      </w:r>
      <w:r w:rsidRPr="000B17E3">
        <w:t xml:space="preserve">he magnitude, persistence, and molecular basis of hardening </w:t>
      </w:r>
      <w:r w:rsidR="00E95039" w:rsidRPr="000B17E3">
        <w:t>determine</w:t>
      </w:r>
      <w:r w:rsidRPr="000B17E3">
        <w:t xml:space="preserve"> how far the realized safety margin departs from static predictions.</w:t>
      </w:r>
    </w:p>
    <w:p w14:paraId="27A59AC5" w14:textId="09EC7A27" w:rsidR="00C4319A" w:rsidRDefault="00C4319A">
      <w:pPr>
        <w:spacing w:after="140" w:line="264" w:lineRule="auto"/>
        <w:jc w:val="both"/>
      </w:pPr>
      <w:r w:rsidRPr="00C4319A">
        <w:t>Heat hardening is rapid and substantial in intertidal bivalves. In the California mussel, a single two-hour sublethal exposure improves heat tolerance within 24 to 48 hours, an effect sustained for up to three weeks without further heating (Moyen et al. 2020). Hardening thus provides a fast, transient, and tunable reserve that operates on a distinct timescale from slow, chronic acclimation, making it a promising low-cost route to resilience. However, critical quantitative and mechanistic gaps remain.</w:t>
      </w:r>
      <w:r w:rsidR="00470C5A">
        <w:t xml:space="preserve"> Notable uncertainties include the </w:t>
      </w:r>
      <w:r w:rsidRPr="00C4319A">
        <w:t xml:space="preserve">kinetics of </w:t>
      </w:r>
      <w:r w:rsidR="00E95039">
        <w:t>hardening</w:t>
      </w:r>
      <w:r w:rsidRPr="00C4319A">
        <w:t xml:space="preserve"> induction, persistence, decay, and refractory periods</w:t>
      </w:r>
      <w:r w:rsidR="002653F2">
        <w:t>,</w:t>
      </w:r>
      <w:r w:rsidRPr="00C4319A">
        <w:t xml:space="preserve"> </w:t>
      </w:r>
      <w:r w:rsidR="00FF1188">
        <w:t>a clear accounting of the</w:t>
      </w:r>
      <w:r w:rsidRPr="00C4319A">
        <w:t xml:space="preserve"> physiological cost</w:t>
      </w:r>
      <w:r w:rsidR="00FF1188">
        <w:t xml:space="preserve"> associated with hardened phenotypes</w:t>
      </w:r>
      <w:r w:rsidR="002653F2">
        <w:t>,</w:t>
      </w:r>
      <w:r w:rsidRPr="00C4319A">
        <w:t xml:space="preserve"> and</w:t>
      </w:r>
      <w:r w:rsidR="002653F2">
        <w:t xml:space="preserve"> </w:t>
      </w:r>
      <w:r w:rsidRPr="00C4319A">
        <w:t xml:space="preserve">whether </w:t>
      </w:r>
      <w:r w:rsidR="00874514">
        <w:t>they</w:t>
      </w:r>
      <w:r w:rsidRPr="00C4319A">
        <w:t xml:space="preserve"> </w:t>
      </w:r>
      <w:r w:rsidR="002653F2">
        <w:t>constitute</w:t>
      </w:r>
      <w:r w:rsidRPr="00C4319A">
        <w:t xml:space="preserve"> a durable molecular memory or merely the transient kinetics of heat-shock-protein induction (Bowler 2005).</w:t>
      </w:r>
    </w:p>
    <w:p w14:paraId="0928537C" w14:textId="30E2F732" w:rsidR="00EE6432" w:rsidRDefault="00F538E5">
      <w:pPr>
        <w:spacing w:before="220" w:after="80" w:line="264" w:lineRule="auto"/>
      </w:pPr>
      <w:r w:rsidRPr="00F538E5">
        <w:t>The underlying architecture of heat hardening can be explained by two competing mechanistic frameworks. Under the first, hardening relies on a temporary surge in molecular chaperones, meaning the protective state simply fades as the chaperone pool turns over. Under the second, prior exposure leaves a durable epigenetic mark</w:t>
      </w:r>
      <w:r w:rsidR="00690FE1">
        <w:t xml:space="preserve">. </w:t>
      </w:r>
      <w:r w:rsidR="004A5A20">
        <w:t xml:space="preserve">Epigenetic memory can include </w:t>
      </w:r>
      <w:r w:rsidRPr="00F538E5">
        <w:t>primed chromatin or altered DNA methylation at stress-responsive loci</w:t>
      </w:r>
      <w:r w:rsidR="004A5A20">
        <w:t xml:space="preserve"> which </w:t>
      </w:r>
      <w:r w:rsidRPr="00F538E5">
        <w:t xml:space="preserve">allow </w:t>
      </w:r>
      <w:r w:rsidR="004A5A20">
        <w:t>impacted gene networks to</w:t>
      </w:r>
      <w:r w:rsidRPr="00F538E5">
        <w:t xml:space="preserve"> activate faster or more robustly upon re-exposure </w:t>
      </w:r>
      <w:r w:rsidR="00EE6432" w:rsidRPr="00EE6432">
        <w:t xml:space="preserve">(D'Urso &amp; Brickner 2014). </w:t>
      </w:r>
      <w:r w:rsidR="001D770B">
        <w:t xml:space="preserve">The </w:t>
      </w:r>
      <w:r w:rsidR="00EE6432" w:rsidRPr="00EE6432">
        <w:t>epigenetic route is highly plausible in intertidal bivalves</w:t>
      </w:r>
      <w:r w:rsidR="001D770B">
        <w:t>, as</w:t>
      </w:r>
      <w:r w:rsidR="00EE6432" w:rsidRPr="00EE6432">
        <w:t xml:space="preserve"> the mussel transcriptome </w:t>
      </w:r>
      <w:r w:rsidR="001D770B">
        <w:t xml:space="preserve">has been demonstrated to be </w:t>
      </w:r>
      <w:r w:rsidR="00EE6432" w:rsidRPr="00EE6432">
        <w:t xml:space="preserve">tuned by recent environmental history (Lockwood et al. 2015) and DNA methylation is both stress-responsive and hypothesized to encode environmental memory (Eirin-Lopez &amp; Putnam 2019; Gavery &amp; Roberts 2017). Methylation </w:t>
      </w:r>
      <w:r w:rsidR="00E15004">
        <w:t>also</w:t>
      </w:r>
      <w:r w:rsidR="00EE6432" w:rsidRPr="00EE6432">
        <w:t xml:space="preserve"> tracks thermal history across tidal-height gradients in the Pacific oyster (Wang et al. 2021). However, it remains unknown </w:t>
      </w:r>
      <w:r w:rsidR="006E062F">
        <w:t>how long</w:t>
      </w:r>
      <w:r w:rsidR="00EE6432" w:rsidRPr="00EE6432">
        <w:t xml:space="preserve"> these </w:t>
      </w:r>
      <w:r w:rsidR="002507E0">
        <w:t>epigenetic changes</w:t>
      </w:r>
      <w:r w:rsidR="00EE6432" w:rsidRPr="00EE6432">
        <w:t xml:space="preserve"> persist and</w:t>
      </w:r>
      <w:r w:rsidR="006E062F">
        <w:t xml:space="preserve"> whether they</w:t>
      </w:r>
      <w:r w:rsidR="00EE6432" w:rsidRPr="00EE6432">
        <w:t xml:space="preserve"> directly correlate with the hardened phenotype. If they do, the realized safety margin at any given moment is not dictated by a static tolerance curve, but by a quantifiable molecular memory.</w:t>
      </w:r>
    </w:p>
    <w:p w14:paraId="44300E4B" w14:textId="7ECC92CA" w:rsidR="00C42CAF" w:rsidRDefault="00FF123D">
      <w:pPr>
        <w:spacing w:before="220" w:after="80" w:line="264" w:lineRule="auto"/>
      </w:pPr>
      <w:r>
        <w:rPr>
          <w:b/>
          <w:bCs/>
        </w:rPr>
        <w:lastRenderedPageBreak/>
        <w:t>Specific Aims</w:t>
      </w:r>
    </w:p>
    <w:p w14:paraId="44300E4C" w14:textId="0EA66DFE" w:rsidR="00C42CAF" w:rsidRDefault="00FF123D">
      <w:pPr>
        <w:spacing w:after="140" w:line="264" w:lineRule="auto"/>
        <w:jc w:val="both"/>
      </w:pPr>
      <w:r>
        <w:t>Th</w:t>
      </w:r>
      <w:r w:rsidR="00EE621D">
        <w:t>is</w:t>
      </w:r>
      <w:r>
        <w:t xml:space="preserve"> proposal </w:t>
      </w:r>
      <w:r w:rsidR="00EE621D">
        <w:t>seeks to under</w:t>
      </w:r>
      <w:r w:rsidR="004214B8">
        <w:t>stand</w:t>
      </w:r>
      <w:r>
        <w:t xml:space="preserve"> how thermal history retunes the realized thermal safety margin</w:t>
      </w:r>
      <w:r w:rsidR="00871626">
        <w:t xml:space="preserve">. </w:t>
      </w:r>
      <w:r w:rsidR="00E63F91">
        <w:t xml:space="preserve"> using </w:t>
      </w:r>
      <w:r>
        <w:t xml:space="preserve">the blue mussel </w:t>
      </w:r>
      <w:r>
        <w:rPr>
          <w:i/>
          <w:iCs/>
        </w:rPr>
        <w:t>Mytilus edulis</w:t>
      </w:r>
      <w:r>
        <w:t xml:space="preserve"> and the Pacific oyster </w:t>
      </w:r>
      <w:r>
        <w:rPr>
          <w:i/>
          <w:iCs/>
        </w:rPr>
        <w:t>Crassostrea gigas</w:t>
      </w:r>
      <w:r>
        <w:t xml:space="preserve">, an intertidal species for which the applicant has characterized the heat-stress methylome and a frontloaded chaperone response. Intertidal bivalves are the decisive system for a hardening study because their thermal limit can be read non-invasively and repeatedly from cardiac performance; heating an individual to its cardiac critical temperature and returning it is not lethal, so the same animal can be probed many times to resolve induction, peak, decay, and refractoriness (Moyen et al. 2020; Moyen et al. 2022). A lethal endpoint yields one measurement per animal and cannot describe a kinetic process. Contrasting a mussel with an </w:t>
      </w:r>
      <w:r w:rsidR="00EE621D">
        <w:t>oyster test</w:t>
      </w:r>
      <w:r>
        <w:t xml:space="preserve"> whether the kinetics and the molecular memory of hardening generalize across two bivalve lineages with different life </w:t>
      </w:r>
      <w:r w:rsidR="00EE621D">
        <w:t>histories or</w:t>
      </w:r>
      <w:r>
        <w:t xml:space="preserve"> are lineage specific.</w:t>
      </w:r>
    </w:p>
    <w:p w14:paraId="44300E4E" w14:textId="3697ED3E" w:rsidR="00C42CAF" w:rsidRDefault="00FF123D" w:rsidP="00A057DF">
      <w:pPr>
        <w:spacing w:before="140" w:after="60" w:line="264" w:lineRule="auto"/>
      </w:pPr>
      <w:r>
        <w:rPr>
          <w:b/>
          <w:bCs/>
        </w:rPr>
        <w:t>Aim 1: kinetics (organism).</w:t>
      </w:r>
      <w:r w:rsidR="00A057DF">
        <w:t xml:space="preserve"> </w:t>
      </w:r>
      <w:r>
        <w:t>How much does prior sublethal exposure shift the realized safety margin, and how fast does the shift rise, persist, and decay? The hypothesis is that the margin shift scales with priming dose up to a saturating threshold, that the induced state decays over a characteristic timescale once heating stops, and that the response is larger or faster in the species that experiences the more variable thermal environment.</w:t>
      </w:r>
    </w:p>
    <w:p w14:paraId="44300E50" w14:textId="19F46C35" w:rsidR="00C42CAF" w:rsidRDefault="00FF123D" w:rsidP="00A057DF">
      <w:pPr>
        <w:spacing w:before="140" w:after="60" w:line="264" w:lineRule="auto"/>
      </w:pPr>
      <w:r>
        <w:rPr>
          <w:b/>
          <w:bCs/>
        </w:rPr>
        <w:t>Aim 2: cost (physiology).</w:t>
      </w:r>
      <w:r w:rsidR="00A057DF">
        <w:t xml:space="preserve"> </w:t>
      </w:r>
      <w:r>
        <w:t>What does the hardening reserve cost? If hardening draws on the same energetic budget as growth, attachment, and reproduction, a primed animal pays a measurable somatic or reproductive penalty; if hardening is a cheap, fast reserve, that penalty is negligible relative to the penalty of chronic acclimation (Sokolova 2013). The oyster's constitutively elevated chaperone pool provides a within-study contrast between a paid-in-advance strategy and an inducible one (Barshis et al. 2013).</w:t>
      </w:r>
    </w:p>
    <w:p w14:paraId="44300E52" w14:textId="1594AF42" w:rsidR="00C42CAF" w:rsidRDefault="00FF123D" w:rsidP="00A057DF">
      <w:pPr>
        <w:spacing w:before="140" w:after="60" w:line="264" w:lineRule="auto"/>
      </w:pPr>
      <w:r>
        <w:rPr>
          <w:b/>
          <w:bCs/>
        </w:rPr>
        <w:t>Aim 3: memory (epigenome).</w:t>
      </w:r>
      <w:r w:rsidR="00A057DF">
        <w:t xml:space="preserve"> </w:t>
      </w:r>
      <w:r>
        <w:t>Does hardening reflect a durable epigenetic memory, or only transient chaperone kinetics? Under the memory hypothesis, primed animals mount a faster or larger transcriptional response on re-exposure, and a differential DNA-methylation signature at stress-responsive loci tracks the rise and fall of the hardened phenotype; under the kinetics hypothesis, the second-exposure transcriptome differs only in the speed of chaperone induction and no durable methylation mark accompanies the phenotype. A negative result under the memory hypothesis is itself informative, bounding how long a static margin can be trusted.</w:t>
      </w:r>
    </w:p>
    <w:p w14:paraId="44300E53" w14:textId="77777777" w:rsidR="00C42CAF" w:rsidRDefault="00FF123D">
      <w:pPr>
        <w:spacing w:before="220" w:after="80" w:line="264" w:lineRule="auto"/>
      </w:pPr>
      <w:r>
        <w:rPr>
          <w:b/>
          <w:bCs/>
        </w:rPr>
        <w:t>Methods</w:t>
      </w:r>
    </w:p>
    <w:p w14:paraId="44300E54" w14:textId="77777777" w:rsidR="00C42CAF" w:rsidRDefault="00FF123D">
      <w:pPr>
        <w:spacing w:before="140" w:after="60" w:line="264" w:lineRule="auto"/>
      </w:pPr>
      <w:r>
        <w:rPr>
          <w:b/>
          <w:bCs/>
        </w:rPr>
        <w:t>Aim 1: kinetics (organism)</w:t>
      </w:r>
    </w:p>
    <w:p w14:paraId="44300E55" w14:textId="77777777" w:rsidR="00C42CAF" w:rsidRDefault="00FF123D">
      <w:pPr>
        <w:spacing w:after="140" w:line="264" w:lineRule="auto"/>
        <w:jc w:val="both"/>
      </w:pPr>
      <w:r>
        <w:t xml:space="preserve">Aim 1 proceeds in two stages. First, a dose-response: animals are primed across a grid of sublethal priming temperatures and durations, informed by the two-hour, 30 to 35 °C exposures effective in </w:t>
      </w:r>
      <w:r>
        <w:rPr>
          <w:i/>
          <w:iCs/>
        </w:rPr>
        <w:t>Mytilus californianus</w:t>
      </w:r>
      <w:r>
        <w:t xml:space="preserve"> (Moyen et al. 2020) and adjusted to the thermal ranges of </w:t>
      </w:r>
      <w:r>
        <w:rPr>
          <w:i/>
          <w:iCs/>
        </w:rPr>
        <w:t>M. edulis</w:t>
      </w:r>
      <w:r>
        <w:t xml:space="preserve"> and </w:t>
      </w:r>
      <w:r>
        <w:rPr>
          <w:i/>
          <w:iCs/>
        </w:rPr>
        <w:t>C. gigas</w:t>
      </w:r>
      <w:r>
        <w:t xml:space="preserve">, after which the shift in the cardiac Arrhenius breakpoint temperature and flat-line temperature is measured non-invasively by infrared heartbeat sensor (Burnett et al. 2013), alongside the shift in heatwave survival. The cardiac breakpoint and flat-line temperatures are used here as sublethal, cumulative-damage proxies for the thermal limit, not as tests of oxygen limitation, since bivalve cardiac performance does not map onto the aerobic-scope framework. Second, kinetics: by repeated non-invasive probing of the same individuals, which is non-lethal in mussels (Moyen et al. 2020; Moyen et al. 2022), the time to peak hardening, the persistence plateau, the decay to baseline, and any refractory period during which a second priming is less </w:t>
      </w:r>
      <w:r>
        <w:lastRenderedPageBreak/>
        <w:t>effective are mapped. At least one cardiac index is validated against an independent heatwave-survival assay, to confront the known and unresolved difficulty of translating laboratory cardiac indices to field survival (Moyen et al. 2022). Heating rate and air-versus-water heating are standardized and justified against field heating rates, because both alter cardiac indices (Moyen et al. 2019; Dong et al. 2021).</w:t>
      </w:r>
    </w:p>
    <w:p w14:paraId="44300E56" w14:textId="77777777" w:rsidR="00C42CAF" w:rsidRDefault="00FF123D">
      <w:pPr>
        <w:spacing w:before="140" w:after="60" w:line="264" w:lineRule="auto"/>
      </w:pPr>
      <w:r>
        <w:rPr>
          <w:b/>
          <w:bCs/>
        </w:rPr>
        <w:t>Aim 2: cost (physiology)</w:t>
      </w:r>
    </w:p>
    <w:p w14:paraId="44300E57" w14:textId="77777777" w:rsidR="00C42CAF" w:rsidRDefault="00FF123D">
      <w:pPr>
        <w:spacing w:after="140" w:line="264" w:lineRule="auto"/>
        <w:jc w:val="both"/>
      </w:pPr>
      <w:r>
        <w:t>After priming, carryover costs are quantified against unprimed controls. In the mussel, byssal thread production and plaque attachment strength are measured; attachment is the load-bearing phenotype that sets survival against hydrodynamic dislodgement and is the applicant's established mechanical assay, and it is measured together with condition index and gonad index. In the oyster, growth, condition, and gametogenic investment are measured. In both species the energetic cost is measured through standard metabolic rate by closed-system respirometry and through a metabolic-enzyme panel indexing aerobic capacity (citrate synthase and cytochrome c oxidase activities) and the cost of ion regulation (Na+/K+-ATPase activity). Contrasting the inducible reserve against the oyster's constitutive chaperone investment asks whether paying in advance and paying on demand carry different costs.</w:t>
      </w:r>
    </w:p>
    <w:p w14:paraId="44300E58" w14:textId="77777777" w:rsidR="00C42CAF" w:rsidRDefault="00FF123D">
      <w:pPr>
        <w:spacing w:before="140" w:after="60" w:line="264" w:lineRule="auto"/>
      </w:pPr>
      <w:r>
        <w:rPr>
          <w:b/>
          <w:bCs/>
        </w:rPr>
        <w:t>Aim 3: memory (epigenome)</w:t>
      </w:r>
    </w:p>
    <w:p w14:paraId="44300E59" w14:textId="5170925D" w:rsidR="00C42CAF" w:rsidRDefault="00FF123D">
      <w:pPr>
        <w:spacing w:after="140" w:line="264" w:lineRule="auto"/>
        <w:jc w:val="both"/>
      </w:pPr>
      <w:r>
        <w:t xml:space="preserve">Aim 3 resolves first-hit versus second-hit responses. Animals are primed, allowed to recover to defined points fixed by the Aim 1 kinetics, at peak hardening and at one or more points across the decay window, then re-exposed and compared against naive animals meeting the stressor for the first time. Transcription is quantified by 3' Tag-Seq, using the applicant's established mussel pipeline (HISAT2 alignment, DESeq2), and weighted gene co-expression network analysis isolates memory modules whose induction is faster or larger in primed animals. In parallel, the methylome is profiled by whole-genome bisulfite sequencing, using the applicant's established oyster pipeline (Bismark alignment, methylKit), at the same time points, and a differential-methylation signature at stress-responsive loci is tested for whether it tracks the rise and fall of the hardened phenotype measured in Aim 1. Candidate loci </w:t>
      </w:r>
      <w:r w:rsidR="00C111E9">
        <w:t xml:space="preserve">include </w:t>
      </w:r>
      <w:r>
        <w:t>energy sensing (adenylate kinase 9), apoptosis (caspase-activated DNase), the DNA-damage response (nesprin-1), and the chaperone system. Pairing the methylome with the transcriptome tests whether methylation differences move expression at memory loci, establishing association plus mechanistic plausibility rather than proof of causation; a demethylating-agent manipulation to establish causation is reserved for later work. The design deliberately matches the assay to the timescale: a durable methylation mark is a candidate carrier for the persistent phase of hardening but is unlikely to explain any sub-day component, so a mark that persists after the phenotype has decayed, or a phenotype that shifts faster than methylation can plausibly turn over, is itself a decisive dissociation. Interpretation engages two known caveats, that transcriptional memory is less firmly established in animals than in plants, and that gene-body methylation in bivalves has a contested functional role (Eirin-Lopez &amp; Putnam 2019).</w:t>
      </w:r>
    </w:p>
    <w:p w14:paraId="44300E5C" w14:textId="77777777" w:rsidR="00C42CAF" w:rsidRDefault="00FF123D">
      <w:pPr>
        <w:spacing w:before="220" w:after="80" w:line="264" w:lineRule="auto"/>
      </w:pPr>
      <w:r>
        <w:rPr>
          <w:b/>
          <w:bCs/>
        </w:rPr>
        <w:t>Timeline (18 months)</w:t>
      </w:r>
    </w:p>
    <w:p w14:paraId="44300E5D" w14:textId="77777777" w:rsidR="00C42CAF" w:rsidRDefault="00FF123D">
      <w:pPr>
        <w:spacing w:after="140" w:line="264" w:lineRule="auto"/>
        <w:jc w:val="both"/>
      </w:pPr>
      <w:r>
        <w:t xml:space="preserve">Months 1 to 4: husbandry, acclimation, and the Aim 1 dose-response and kinetics in the mussel, fixing the sampling time points for Aim 3. Months 3 to 9: cost assays and the fluctuating and heatwave survival trials, with cardiac phenotyping throughout. Months 5 to 14: first-hit versus second-hit sampling, Tag-Seq, and whole-genome bisulfite sequencing, run in parallel, with the </w:t>
      </w:r>
      <w:r>
        <w:lastRenderedPageBreak/>
        <w:t>oyster entering as schedule allows. Months 12 to 18: integration of methylome and transcriptome, analysis, and publication.</w:t>
      </w:r>
    </w:p>
    <w:p w14:paraId="44300E5E" w14:textId="77777777" w:rsidR="00C42CAF" w:rsidRDefault="00FF123D">
      <w:pPr>
        <w:spacing w:before="220" w:after="80" w:line="264" w:lineRule="auto"/>
      </w:pPr>
      <w:r>
        <w:rPr>
          <w:b/>
          <w:bCs/>
        </w:rPr>
        <w:t>References</w:t>
      </w:r>
    </w:p>
    <w:p w14:paraId="44300E5F" w14:textId="77777777" w:rsidR="00C42CAF" w:rsidRDefault="00FF123D">
      <w:pPr>
        <w:spacing w:after="120" w:line="252" w:lineRule="auto"/>
        <w:ind w:left="720" w:hanging="720"/>
        <w:jc w:val="both"/>
      </w:pPr>
      <w:r>
        <w:t xml:space="preserve">Barshis, D. J., Ladner, J. T., Oliver, T. A., Seneca, F. O., Traylor-Knowles, N., &amp; Palumbi, S. R. (2013). Genomic basis for coral resilience to climate change. </w:t>
      </w:r>
      <w:r>
        <w:rPr>
          <w:i/>
          <w:iCs/>
        </w:rPr>
        <w:t>PNAS</w:t>
      </w:r>
      <w:r>
        <w:t xml:space="preserve"> 110, 1387-1392.</w:t>
      </w:r>
    </w:p>
    <w:p w14:paraId="44300E60" w14:textId="77777777" w:rsidR="00C42CAF" w:rsidRDefault="00FF123D">
      <w:pPr>
        <w:spacing w:after="120" w:line="252" w:lineRule="auto"/>
        <w:ind w:left="720" w:hanging="720"/>
        <w:jc w:val="both"/>
      </w:pPr>
      <w:r>
        <w:t xml:space="preserve">Bowler, K. (2005). Acclimation, heat shock and hardening. </w:t>
      </w:r>
      <w:r>
        <w:rPr>
          <w:i/>
          <w:iCs/>
        </w:rPr>
        <w:t>Journal of Thermal Biology</w:t>
      </w:r>
      <w:r>
        <w:t xml:space="preserve"> 30, 125-130.</w:t>
      </w:r>
    </w:p>
    <w:p w14:paraId="44300E61" w14:textId="77777777" w:rsidR="00C42CAF" w:rsidRDefault="00FF123D">
      <w:pPr>
        <w:spacing w:after="120" w:line="252" w:lineRule="auto"/>
        <w:ind w:left="720" w:hanging="720"/>
        <w:jc w:val="both"/>
      </w:pPr>
      <w:r>
        <w:t xml:space="preserve">Burnett, N. P., Seabra, R., de Pirro, M., Wethey, D. S., Woodin, S. A., Helmuth, B., &amp; Lima, F. P. (2013). An improved noninvasive method for measuring heartbeat of intertidal animals. </w:t>
      </w:r>
      <w:r>
        <w:rPr>
          <w:i/>
          <w:iCs/>
        </w:rPr>
        <w:t>Limnology and Oceanography: Methods</w:t>
      </w:r>
      <w:r>
        <w:t xml:space="preserve"> 11, 91-100.</w:t>
      </w:r>
    </w:p>
    <w:p w14:paraId="44300E62" w14:textId="77777777" w:rsidR="00C42CAF" w:rsidRDefault="00FF123D">
      <w:pPr>
        <w:spacing w:after="120" w:line="252" w:lineRule="auto"/>
        <w:ind w:left="720" w:hanging="720"/>
        <w:jc w:val="both"/>
      </w:pPr>
      <w:r>
        <w:t xml:space="preserve">Denny, M. (2017). The fallacy of the average: on the ubiquity, utility and continuing novelty of Jensen's inequality. </w:t>
      </w:r>
      <w:r>
        <w:rPr>
          <w:i/>
          <w:iCs/>
        </w:rPr>
        <w:t>Journal of Experimental Biology</w:t>
      </w:r>
      <w:r>
        <w:t xml:space="preserve"> 220, 139-146.</w:t>
      </w:r>
    </w:p>
    <w:p w14:paraId="44300E63" w14:textId="77777777" w:rsidR="00C42CAF" w:rsidRDefault="00FF123D">
      <w:pPr>
        <w:spacing w:after="120" w:line="252" w:lineRule="auto"/>
        <w:ind w:left="720" w:hanging="720"/>
        <w:jc w:val="both"/>
      </w:pPr>
      <w:r>
        <w:t xml:space="preserve">Deutsch, C. A., Tewksbury, J. J., Huey, R. B., Sheldon, K. S., Ghalambor, C. K., Haak, D. C., &amp; Martin, P. R. (2008). Impacts of climate warming on terrestrial ectotherms across latitude. </w:t>
      </w:r>
      <w:r>
        <w:rPr>
          <w:i/>
          <w:iCs/>
        </w:rPr>
        <w:t>PNAS</w:t>
      </w:r>
      <w:r>
        <w:t xml:space="preserve"> 105 (Suppl. 2), 6668-6672.</w:t>
      </w:r>
    </w:p>
    <w:p w14:paraId="44300E64" w14:textId="77777777" w:rsidR="00C42CAF" w:rsidRDefault="00FF123D">
      <w:pPr>
        <w:spacing w:after="120" w:line="252" w:lineRule="auto"/>
        <w:ind w:left="720" w:hanging="720"/>
        <w:jc w:val="both"/>
      </w:pPr>
      <w:r>
        <w:t xml:space="preserve">Dong, Y.-W., Liao, M.-L., Han, G.-D., &amp; Somero, G. N. (2021). An integrated, multi-level analysis of thermal effects on intertidal molluscs for understanding species distribution patterns. </w:t>
      </w:r>
      <w:r>
        <w:rPr>
          <w:i/>
          <w:iCs/>
        </w:rPr>
        <w:t>Biological Reviews</w:t>
      </w:r>
      <w:r>
        <w:t xml:space="preserve"> 97, 554-581.</w:t>
      </w:r>
    </w:p>
    <w:p w14:paraId="44300E65" w14:textId="77777777" w:rsidR="00C42CAF" w:rsidRDefault="00FF123D">
      <w:pPr>
        <w:spacing w:after="120" w:line="252" w:lineRule="auto"/>
        <w:ind w:left="720" w:hanging="720"/>
        <w:jc w:val="both"/>
      </w:pPr>
      <w:r>
        <w:t xml:space="preserve">Dowd, W. W., King, F. A., &amp; Denny, M. W. (2015). Thermal variation, thermal extremes and the physiological performance of individuals. </w:t>
      </w:r>
      <w:r>
        <w:rPr>
          <w:i/>
          <w:iCs/>
        </w:rPr>
        <w:t>Journal of Experimental Biology</w:t>
      </w:r>
      <w:r>
        <w:t xml:space="preserve"> 218, 1956-1967.</w:t>
      </w:r>
    </w:p>
    <w:p w14:paraId="44300E66" w14:textId="77777777" w:rsidR="00C42CAF" w:rsidRDefault="00FF123D">
      <w:pPr>
        <w:spacing w:after="120" w:line="252" w:lineRule="auto"/>
        <w:ind w:left="720" w:hanging="720"/>
        <w:jc w:val="both"/>
      </w:pPr>
      <w:r>
        <w:t xml:space="preserve">D'Urso, A., &amp; Brickner, J. H. (2014). Mechanisms of epigenetic memory. </w:t>
      </w:r>
      <w:r>
        <w:rPr>
          <w:i/>
          <w:iCs/>
        </w:rPr>
        <w:t>Trends in Genetics</w:t>
      </w:r>
      <w:r>
        <w:t xml:space="preserve"> 30, 230-236.</w:t>
      </w:r>
    </w:p>
    <w:p w14:paraId="44300E67" w14:textId="77777777" w:rsidR="00C42CAF" w:rsidRDefault="00FF123D">
      <w:pPr>
        <w:spacing w:after="120" w:line="252" w:lineRule="auto"/>
        <w:ind w:left="720" w:hanging="720"/>
        <w:jc w:val="both"/>
      </w:pPr>
      <w:r>
        <w:t xml:space="preserve">Eirin-Lopez, J. M., &amp; Putnam, H. M. (2019). Marine environmental epigenetics. </w:t>
      </w:r>
      <w:r>
        <w:rPr>
          <w:i/>
          <w:iCs/>
        </w:rPr>
        <w:t>Annual Review of Marine Science</w:t>
      </w:r>
      <w:r>
        <w:t xml:space="preserve"> 11, 335-368.</w:t>
      </w:r>
    </w:p>
    <w:p w14:paraId="44300E68" w14:textId="77777777" w:rsidR="00C42CAF" w:rsidRDefault="00FF123D">
      <w:pPr>
        <w:spacing w:after="120" w:line="252" w:lineRule="auto"/>
        <w:ind w:left="720" w:hanging="720"/>
        <w:jc w:val="both"/>
      </w:pPr>
      <w:r>
        <w:t xml:space="preserve">Gavery, M. R., &amp; Roberts, S. B. (2010). DNA methylation patterns provide insight into epigenetic regulation in the Pacific oyster (Crassostrea gigas). </w:t>
      </w:r>
      <w:r>
        <w:rPr>
          <w:i/>
          <w:iCs/>
        </w:rPr>
        <w:t>BMC Genomics</w:t>
      </w:r>
      <w:r>
        <w:t xml:space="preserve"> 11, 483.</w:t>
      </w:r>
    </w:p>
    <w:p w14:paraId="44300E69" w14:textId="77777777" w:rsidR="00C42CAF" w:rsidRDefault="00FF123D">
      <w:pPr>
        <w:spacing w:after="120" w:line="252" w:lineRule="auto"/>
        <w:ind w:left="720" w:hanging="720"/>
        <w:jc w:val="both"/>
      </w:pPr>
      <w:r>
        <w:t xml:space="preserve">Gavery, M. R., &amp; Roberts, S. B. (2017). Epigenetic considerations in aquaculture. </w:t>
      </w:r>
      <w:r>
        <w:rPr>
          <w:i/>
          <w:iCs/>
        </w:rPr>
        <w:t>PeerJ</w:t>
      </w:r>
      <w:r>
        <w:t xml:space="preserve"> 5, e4147.</w:t>
      </w:r>
    </w:p>
    <w:p w14:paraId="1C7F2C68" w14:textId="0489D933" w:rsidR="00241748" w:rsidRDefault="00241748">
      <w:pPr>
        <w:spacing w:after="120" w:line="252" w:lineRule="auto"/>
        <w:ind w:left="720" w:hanging="720"/>
        <w:jc w:val="both"/>
      </w:pPr>
      <w:r w:rsidRPr="00241748">
        <w:t xml:space="preserve">Georgoulis, I., Bock, C., Lannig, G., Pörtner, H. O., Sokolova, I. M., Feidantsis, K., Giantsis, I. A., &amp; Michaelidis, B. (2023). Heat hardening enhances metabolite-driven thermoprotection in the Mediterranean mussel Mytilus galloprovincialis. Frontiers in Physiology, 14. </w:t>
      </w:r>
      <w:hyperlink r:id="rId5" w:history="1">
        <w:r w:rsidRPr="005A79F1">
          <w:rPr>
            <w:rStyle w:val="Hyperlink"/>
          </w:rPr>
          <w:t>https://doi.org/10.3389/fphys.2023.1244314</w:t>
        </w:r>
      </w:hyperlink>
    </w:p>
    <w:p w14:paraId="6A6617AF" w14:textId="16E5BEF2" w:rsidR="001C5E53" w:rsidRDefault="001C5E53">
      <w:pPr>
        <w:spacing w:after="120" w:line="252" w:lineRule="auto"/>
        <w:ind w:left="720" w:hanging="720"/>
        <w:jc w:val="both"/>
      </w:pPr>
      <w:r w:rsidRPr="001C5E53">
        <w:t xml:space="preserve">Hofmann, G. E. (1999). Ecologically relevant variation in induction and function of heat shock proteins in marine organisms. </w:t>
      </w:r>
      <w:r w:rsidRPr="001C5E53">
        <w:rPr>
          <w:i/>
          <w:iCs/>
        </w:rPr>
        <w:t>American Zoologist</w:t>
      </w:r>
      <w:r w:rsidRPr="001C5E53">
        <w:t xml:space="preserve">, </w:t>
      </w:r>
      <w:r w:rsidRPr="001C5E53">
        <w:rPr>
          <w:i/>
          <w:iCs/>
        </w:rPr>
        <w:t>39</w:t>
      </w:r>
      <w:r w:rsidRPr="001C5E53">
        <w:t>(6), 889–900.</w:t>
      </w:r>
    </w:p>
    <w:p w14:paraId="44300E6C" w14:textId="616E9564" w:rsidR="00C42CAF" w:rsidRDefault="00FF123D">
      <w:pPr>
        <w:spacing w:after="120" w:line="252" w:lineRule="auto"/>
        <w:ind w:left="720" w:hanging="720"/>
        <w:jc w:val="both"/>
      </w:pPr>
      <w:r>
        <w:t xml:space="preserve">Hoffmann, A. A., &amp; Sgrò, C. M. (2011). Climate change and evolutionary adaptation. </w:t>
      </w:r>
      <w:r>
        <w:rPr>
          <w:i/>
          <w:iCs/>
        </w:rPr>
        <w:t>Nature</w:t>
      </w:r>
      <w:r>
        <w:t xml:space="preserve"> 470, 479-485.</w:t>
      </w:r>
    </w:p>
    <w:p w14:paraId="44300E6D" w14:textId="77777777" w:rsidR="00C42CAF" w:rsidRDefault="00FF123D">
      <w:pPr>
        <w:spacing w:after="120" w:line="252" w:lineRule="auto"/>
        <w:ind w:left="720" w:hanging="720"/>
        <w:jc w:val="both"/>
      </w:pPr>
      <w:r>
        <w:t xml:space="preserve">Lockwood, B. L., Connor, K. M., &amp; Gracey, A. Y. (2015). The environmentally tuned transcriptomes of Mytilus mussels. </w:t>
      </w:r>
      <w:r>
        <w:rPr>
          <w:i/>
          <w:iCs/>
        </w:rPr>
        <w:t>Journal of Experimental Biology</w:t>
      </w:r>
      <w:r>
        <w:t xml:space="preserve"> 218, 1822-1833.</w:t>
      </w:r>
    </w:p>
    <w:p w14:paraId="44300E6E" w14:textId="77777777" w:rsidR="00C42CAF" w:rsidRDefault="00FF123D">
      <w:pPr>
        <w:spacing w:after="120" w:line="252" w:lineRule="auto"/>
        <w:ind w:left="720" w:hanging="720"/>
        <w:jc w:val="both"/>
      </w:pPr>
      <w:r>
        <w:t xml:space="preserve">Moyen, N. E., Crane, R. L., Somero, G. N., &amp; Denny, M. W. (2020). A single heat-stress bout induces rapid and prolonged heat acclimation in the California mussel, Mytilus californianus. </w:t>
      </w:r>
      <w:r>
        <w:rPr>
          <w:i/>
          <w:iCs/>
        </w:rPr>
        <w:t>Proceedings of the Royal Society B</w:t>
      </w:r>
      <w:r>
        <w:t xml:space="preserve"> 287, 20202561.</w:t>
      </w:r>
    </w:p>
    <w:p w14:paraId="44300E6F" w14:textId="77777777" w:rsidR="00C42CAF" w:rsidRDefault="00FF123D">
      <w:pPr>
        <w:spacing w:after="120" w:line="252" w:lineRule="auto"/>
        <w:ind w:left="720" w:hanging="720"/>
        <w:jc w:val="both"/>
      </w:pPr>
      <w:r>
        <w:lastRenderedPageBreak/>
        <w:t xml:space="preserve">Moyen, N. E., Somero, G. N., &amp; Denny, M. W. (2019). Impact of heating rate on cardiac thermal tolerance in the California mussel, Mytilus californianus. </w:t>
      </w:r>
      <w:r>
        <w:rPr>
          <w:i/>
          <w:iCs/>
        </w:rPr>
        <w:t>Journal of Experimental Biology</w:t>
      </w:r>
      <w:r>
        <w:t xml:space="preserve"> 222, jeb203166.</w:t>
      </w:r>
    </w:p>
    <w:p w14:paraId="44300E70" w14:textId="77777777" w:rsidR="00C42CAF" w:rsidRDefault="00FF123D">
      <w:pPr>
        <w:spacing w:after="120" w:line="252" w:lineRule="auto"/>
        <w:ind w:left="720" w:hanging="720"/>
        <w:jc w:val="both"/>
      </w:pPr>
      <w:r>
        <w:t xml:space="preserve">Moyen, N. E., Somero, G. N., &amp; Denny, M. W. (2022). Effects of heat acclimation on cardiac function in the intertidal mussel Mytilus californianus: can laboratory-based indices predict survival in the field? </w:t>
      </w:r>
      <w:r>
        <w:rPr>
          <w:i/>
          <w:iCs/>
        </w:rPr>
        <w:t>Journal of Experimental Biology</w:t>
      </w:r>
      <w:r>
        <w:t xml:space="preserve"> 225, jeb243050.</w:t>
      </w:r>
    </w:p>
    <w:p w14:paraId="44300E71" w14:textId="77777777" w:rsidR="00C42CAF" w:rsidRDefault="00FF123D">
      <w:pPr>
        <w:spacing w:after="120" w:line="252" w:lineRule="auto"/>
        <w:ind w:left="720" w:hanging="720"/>
        <w:jc w:val="both"/>
      </w:pPr>
      <w:r>
        <w:t xml:space="preserve">Pinsky, M. L., Eikeset, A. M., McCauley, D. J., Payne, J. L., &amp; Sunday, J. M. (2019). Greater vulnerability to warming of marine versus terrestrial ectotherms. </w:t>
      </w:r>
      <w:r>
        <w:rPr>
          <w:i/>
          <w:iCs/>
        </w:rPr>
        <w:t>Nature</w:t>
      </w:r>
      <w:r>
        <w:t xml:space="preserve"> 569, 108-111.</w:t>
      </w:r>
    </w:p>
    <w:p w14:paraId="44300E72" w14:textId="77777777" w:rsidR="00C42CAF" w:rsidRDefault="00FF123D">
      <w:pPr>
        <w:spacing w:after="120" w:line="252" w:lineRule="auto"/>
        <w:ind w:left="720" w:hanging="720"/>
        <w:jc w:val="both"/>
      </w:pPr>
      <w:r>
        <w:t xml:space="preserve">Sokolova, I. M. (2013). Energy-limited tolerance to stress as a conceptual framework to integrate the effects of multiple stressors. </w:t>
      </w:r>
      <w:r>
        <w:rPr>
          <w:i/>
          <w:iCs/>
        </w:rPr>
        <w:t>Integrative and Comparative Biology</w:t>
      </w:r>
      <w:r>
        <w:t xml:space="preserve"> 53, 597-608.</w:t>
      </w:r>
    </w:p>
    <w:p w14:paraId="44300E73" w14:textId="77777777" w:rsidR="00C42CAF" w:rsidRDefault="00FF123D">
      <w:pPr>
        <w:spacing w:after="120" w:line="252" w:lineRule="auto"/>
        <w:ind w:left="720" w:hanging="720"/>
        <w:jc w:val="both"/>
      </w:pPr>
      <w:r>
        <w:t xml:space="preserve">Wang, X., Li, A., Wang, W., Que, H., Zhang, G., &amp; Li, L. (2021). DNA methylation mediates differentiation in thermal responses of Pacific oyster (Crassostrea gigas) derived from different tidal levels. </w:t>
      </w:r>
      <w:r>
        <w:rPr>
          <w:i/>
          <w:iCs/>
        </w:rPr>
        <w:t>Heredity</w:t>
      </w:r>
      <w:r>
        <w:t xml:space="preserve"> 126, 10-22.</w:t>
      </w:r>
    </w:p>
    <w:sectPr w:rsidR="00C42C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723"/>
    <w:multiLevelType w:val="hybridMultilevel"/>
    <w:tmpl w:val="77F204F6"/>
    <w:lvl w:ilvl="0" w:tplc="9BE2A012">
      <w:start w:val="1"/>
      <w:numFmt w:val="bullet"/>
      <w:lvlText w:val="●"/>
      <w:lvlJc w:val="left"/>
      <w:pPr>
        <w:ind w:left="720" w:hanging="360"/>
      </w:pPr>
    </w:lvl>
    <w:lvl w:ilvl="1" w:tplc="82D4930E">
      <w:start w:val="1"/>
      <w:numFmt w:val="bullet"/>
      <w:lvlText w:val="○"/>
      <w:lvlJc w:val="left"/>
      <w:pPr>
        <w:ind w:left="1440" w:hanging="360"/>
      </w:pPr>
    </w:lvl>
    <w:lvl w:ilvl="2" w:tplc="EA9287BE">
      <w:start w:val="1"/>
      <w:numFmt w:val="bullet"/>
      <w:lvlText w:val="■"/>
      <w:lvlJc w:val="left"/>
      <w:pPr>
        <w:ind w:left="2160" w:hanging="360"/>
      </w:pPr>
    </w:lvl>
    <w:lvl w:ilvl="3" w:tplc="F98044C6">
      <w:start w:val="1"/>
      <w:numFmt w:val="bullet"/>
      <w:lvlText w:val="●"/>
      <w:lvlJc w:val="left"/>
      <w:pPr>
        <w:ind w:left="2880" w:hanging="360"/>
      </w:pPr>
    </w:lvl>
    <w:lvl w:ilvl="4" w:tplc="DD3604B0">
      <w:start w:val="1"/>
      <w:numFmt w:val="bullet"/>
      <w:lvlText w:val="○"/>
      <w:lvlJc w:val="left"/>
      <w:pPr>
        <w:ind w:left="3600" w:hanging="360"/>
      </w:pPr>
    </w:lvl>
    <w:lvl w:ilvl="5" w:tplc="1162363C">
      <w:start w:val="1"/>
      <w:numFmt w:val="bullet"/>
      <w:lvlText w:val="■"/>
      <w:lvlJc w:val="left"/>
      <w:pPr>
        <w:ind w:left="4320" w:hanging="360"/>
      </w:pPr>
    </w:lvl>
    <w:lvl w:ilvl="6" w:tplc="EEE2180A">
      <w:start w:val="1"/>
      <w:numFmt w:val="bullet"/>
      <w:lvlText w:val="●"/>
      <w:lvlJc w:val="left"/>
      <w:pPr>
        <w:ind w:left="5040" w:hanging="360"/>
      </w:pPr>
    </w:lvl>
    <w:lvl w:ilvl="7" w:tplc="BA140B80">
      <w:start w:val="1"/>
      <w:numFmt w:val="bullet"/>
      <w:lvlText w:val="●"/>
      <w:lvlJc w:val="left"/>
      <w:pPr>
        <w:ind w:left="5760" w:hanging="360"/>
      </w:pPr>
    </w:lvl>
    <w:lvl w:ilvl="8" w:tplc="82962E8A">
      <w:start w:val="1"/>
      <w:numFmt w:val="bullet"/>
      <w:lvlText w:val="●"/>
      <w:lvlJc w:val="left"/>
      <w:pPr>
        <w:ind w:left="6480" w:hanging="360"/>
      </w:pPr>
    </w:lvl>
  </w:abstractNum>
  <w:num w:numId="1" w16cid:durableId="12657641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CAF"/>
    <w:rsid w:val="000B17E3"/>
    <w:rsid w:val="000E5FD4"/>
    <w:rsid w:val="001974A1"/>
    <w:rsid w:val="001C5E53"/>
    <w:rsid w:val="001D770B"/>
    <w:rsid w:val="00241748"/>
    <w:rsid w:val="002507E0"/>
    <w:rsid w:val="002653F2"/>
    <w:rsid w:val="002837AF"/>
    <w:rsid w:val="00292CD3"/>
    <w:rsid w:val="002E48C9"/>
    <w:rsid w:val="00367CCD"/>
    <w:rsid w:val="003973C4"/>
    <w:rsid w:val="00420541"/>
    <w:rsid w:val="004214B8"/>
    <w:rsid w:val="00470C5A"/>
    <w:rsid w:val="004A5A20"/>
    <w:rsid w:val="004F66B5"/>
    <w:rsid w:val="00514016"/>
    <w:rsid w:val="0054147F"/>
    <w:rsid w:val="00554E1E"/>
    <w:rsid w:val="006646E5"/>
    <w:rsid w:val="00684A2E"/>
    <w:rsid w:val="00686D2C"/>
    <w:rsid w:val="00690FE1"/>
    <w:rsid w:val="00692329"/>
    <w:rsid w:val="006B07AC"/>
    <w:rsid w:val="006B1CE1"/>
    <w:rsid w:val="006E062F"/>
    <w:rsid w:val="00712A99"/>
    <w:rsid w:val="008035AE"/>
    <w:rsid w:val="00862FBF"/>
    <w:rsid w:val="00871626"/>
    <w:rsid w:val="00874514"/>
    <w:rsid w:val="009A2C5A"/>
    <w:rsid w:val="009E6F93"/>
    <w:rsid w:val="009F27E8"/>
    <w:rsid w:val="00A057DF"/>
    <w:rsid w:val="00B86940"/>
    <w:rsid w:val="00C111E9"/>
    <w:rsid w:val="00C20C46"/>
    <w:rsid w:val="00C35BEA"/>
    <w:rsid w:val="00C377A8"/>
    <w:rsid w:val="00C42CAF"/>
    <w:rsid w:val="00C4319A"/>
    <w:rsid w:val="00CD7383"/>
    <w:rsid w:val="00DB67C1"/>
    <w:rsid w:val="00E15004"/>
    <w:rsid w:val="00E474C1"/>
    <w:rsid w:val="00E63F91"/>
    <w:rsid w:val="00E95039"/>
    <w:rsid w:val="00EB1AB4"/>
    <w:rsid w:val="00EE621D"/>
    <w:rsid w:val="00EE6432"/>
    <w:rsid w:val="00F538E5"/>
    <w:rsid w:val="00F81C4D"/>
    <w:rsid w:val="00F92D67"/>
    <w:rsid w:val="00FF1188"/>
    <w:rsid w:val="00FF1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00E42"/>
  <w15:docId w15:val="{8C9B7A50-004B-445D-9844-0A9DB2886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41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389/fphys.2023.124431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385</TotalTime>
  <Pages>5</Pages>
  <Words>2238</Words>
  <Characters>12762</Characters>
  <Application>Microsoft Office Word</Application>
  <DocSecurity>0</DocSecurity>
  <Lines>106</Lines>
  <Paragraphs>29</Paragraphs>
  <ScaleCrop>false</ScaleCrop>
  <Company/>
  <LinksUpToDate>false</LinksUpToDate>
  <CharactersWithSpaces>14971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Matthew (DFW)</cp:lastModifiedBy>
  <cp:revision>58</cp:revision>
  <dcterms:created xsi:type="dcterms:W3CDTF">2026-07-02T15:23:00Z</dcterms:created>
  <dcterms:modified xsi:type="dcterms:W3CDTF">2026-07-03T06:27:00Z</dcterms:modified>
</cp:coreProperties>
</file>