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0F31" w14:textId="54F1F3AB" w:rsidR="00F15DC0" w:rsidRPr="00A860FA" w:rsidRDefault="00000000">
      <w:pPr>
        <w:spacing w:after="120" w:line="264" w:lineRule="auto"/>
      </w:pPr>
      <w:r w:rsidRPr="00A860FA">
        <w:rPr>
          <w:b/>
          <w:bCs/>
          <w:color w:val="000000"/>
          <w:sz w:val="32"/>
          <w:szCs w:val="32"/>
        </w:rPr>
        <w:t xml:space="preserve">The physiological and genomic architecture of </w:t>
      </w:r>
      <w:r w:rsidR="00A860FA">
        <w:rPr>
          <w:b/>
          <w:bCs/>
          <w:color w:val="000000"/>
          <w:sz w:val="32"/>
          <w:szCs w:val="32"/>
        </w:rPr>
        <w:t>thermal</w:t>
      </w:r>
      <w:r w:rsidRPr="00A860FA">
        <w:rPr>
          <w:b/>
          <w:bCs/>
          <w:color w:val="000000"/>
          <w:sz w:val="32"/>
          <w:szCs w:val="32"/>
        </w:rPr>
        <w:t xml:space="preserve"> survival safety factor</w:t>
      </w:r>
      <w:r w:rsidR="00A860FA">
        <w:rPr>
          <w:b/>
          <w:bCs/>
          <w:color w:val="000000"/>
          <w:sz w:val="32"/>
          <w:szCs w:val="32"/>
        </w:rPr>
        <w:t xml:space="preserve"> across taxa</w:t>
      </w:r>
    </w:p>
    <w:p w14:paraId="09614F2F" w14:textId="151D40A1" w:rsidR="00F15DC0" w:rsidRPr="00A860FA" w:rsidRDefault="00000000">
      <w:pPr>
        <w:spacing w:after="20"/>
      </w:pPr>
      <w:r w:rsidRPr="00A860FA">
        <w:rPr>
          <w:b/>
          <w:bCs/>
          <w:sz w:val="20"/>
          <w:szCs w:val="20"/>
        </w:rPr>
        <w:t xml:space="preserve">Applicant:  </w:t>
      </w:r>
      <w:r w:rsidRPr="00A860FA">
        <w:rPr>
          <w:sz w:val="20"/>
          <w:szCs w:val="20"/>
        </w:rPr>
        <w:t>Matthew N. George</w:t>
      </w:r>
    </w:p>
    <w:p w14:paraId="7527693B" w14:textId="1E451F0E" w:rsidR="00F15DC0" w:rsidRPr="00A860FA" w:rsidRDefault="00000000">
      <w:pPr>
        <w:spacing w:after="20"/>
      </w:pPr>
      <w:r w:rsidRPr="00A860FA">
        <w:rPr>
          <w:b/>
          <w:bCs/>
          <w:sz w:val="20"/>
          <w:szCs w:val="20"/>
        </w:rPr>
        <w:t xml:space="preserve">Proposed host:  </w:t>
      </w:r>
      <w:r w:rsidRPr="00A860FA">
        <w:rPr>
          <w:sz w:val="20"/>
          <w:szCs w:val="20"/>
        </w:rPr>
        <w:t xml:space="preserve">Felix Christopher Mark, </w:t>
      </w:r>
      <w:r w:rsidR="00A860FA">
        <w:rPr>
          <w:sz w:val="20"/>
          <w:szCs w:val="20"/>
        </w:rPr>
        <w:t>A</w:t>
      </w:r>
      <w:r w:rsidRPr="00A860FA">
        <w:rPr>
          <w:sz w:val="20"/>
          <w:szCs w:val="20"/>
        </w:rPr>
        <w:t>lfred Wegener Institute (AWI), Bremerhaven</w:t>
      </w:r>
    </w:p>
    <w:p w14:paraId="03FCEE41" w14:textId="3EC0E488" w:rsidR="00F15DC0" w:rsidRPr="00A860FA" w:rsidRDefault="00A860FA">
      <w:pPr>
        <w:spacing w:after="20"/>
      </w:pPr>
      <w:r>
        <w:rPr>
          <w:b/>
          <w:bCs/>
          <w:sz w:val="20"/>
          <w:szCs w:val="20"/>
        </w:rPr>
        <w:t>Collaborator</w:t>
      </w:r>
      <w:r w:rsidR="00000000" w:rsidRPr="00A860FA">
        <w:rPr>
          <w:b/>
          <w:bCs/>
          <w:sz w:val="20"/>
          <w:szCs w:val="20"/>
        </w:rPr>
        <w:t xml:space="preserve">:  </w:t>
      </w:r>
      <w:r w:rsidR="00000000" w:rsidRPr="00A860FA">
        <w:rPr>
          <w:sz w:val="20"/>
          <w:szCs w:val="20"/>
        </w:rPr>
        <w:t>Paolo Domenici, CNR Institute of Biophysics, Italy</w:t>
      </w:r>
    </w:p>
    <w:p w14:paraId="7DB78DDA" w14:textId="77777777" w:rsidR="00796D05" w:rsidRDefault="00796D05">
      <w:pPr>
        <w:spacing w:after="120" w:line="276" w:lineRule="auto"/>
      </w:pPr>
    </w:p>
    <w:p w14:paraId="70C1D762" w14:textId="154E8E76" w:rsidR="002356D2" w:rsidRDefault="006D55B8">
      <w:pPr>
        <w:spacing w:after="120" w:line="276" w:lineRule="auto"/>
      </w:pPr>
      <w:r>
        <w:rPr>
          <w:b/>
          <w:bCs/>
        </w:rPr>
        <w:t>Introduction:</w:t>
      </w:r>
    </w:p>
    <w:p w14:paraId="3A108D89" w14:textId="3B43698C" w:rsidR="002356D2" w:rsidRDefault="002356D2" w:rsidP="002356D2">
      <w:pPr>
        <w:pStyle w:val="ListParagraph"/>
        <w:numPr>
          <w:ilvl w:val="0"/>
          <w:numId w:val="3"/>
        </w:numPr>
        <w:spacing w:after="120" w:line="276" w:lineRule="auto"/>
      </w:pPr>
      <w:r>
        <w:t xml:space="preserve">Statement and citation about how climate </w:t>
      </w:r>
      <w:proofErr w:type="gramStart"/>
      <w:r>
        <w:t>is</w:t>
      </w:r>
      <w:proofErr w:type="gramEnd"/>
      <w:r>
        <w:t xml:space="preserve"> warming faster than organisms can adapt, exposing them to thermal stress and pushing populations towards their thermal limits.</w:t>
      </w:r>
    </w:p>
    <w:p w14:paraId="3AF9D3F4" w14:textId="036F54B2" w:rsidR="002356D2" w:rsidRDefault="002356D2" w:rsidP="002356D2">
      <w:pPr>
        <w:pStyle w:val="ListParagraph"/>
        <w:numPr>
          <w:ilvl w:val="0"/>
          <w:numId w:val="3"/>
        </w:numPr>
        <w:spacing w:after="120" w:line="276" w:lineRule="auto"/>
      </w:pPr>
      <w:r w:rsidRPr="002356D2">
        <w:t>marine ectotherms already sit closer to their upper thermal limits than terrestrial ones (Pinsky et al. 2019)</w:t>
      </w:r>
      <w:r>
        <w:t>.</w:t>
      </w:r>
    </w:p>
    <w:p w14:paraId="06880694" w14:textId="758C3117" w:rsidR="002356D2" w:rsidRDefault="002356D2" w:rsidP="002356D2">
      <w:pPr>
        <w:pStyle w:val="ListParagraph"/>
        <w:numPr>
          <w:ilvl w:val="0"/>
          <w:numId w:val="3"/>
        </w:numPr>
        <w:spacing w:after="120" w:line="276" w:lineRule="auto"/>
      </w:pPr>
      <w:r>
        <w:t>Introduction to the fallacy of the average: mean temperature does not capture the stress load placed on organisms placed on them in variable environments. Cite Denny.</w:t>
      </w:r>
    </w:p>
    <w:p w14:paraId="090E5DA5" w14:textId="329B75B8" w:rsidR="006D55B8" w:rsidRDefault="006D55B8" w:rsidP="006D55B8">
      <w:pPr>
        <w:pStyle w:val="ListParagraph"/>
        <w:numPr>
          <w:ilvl w:val="0"/>
          <w:numId w:val="3"/>
        </w:numPr>
        <w:spacing w:after="120" w:line="276" w:lineRule="auto"/>
      </w:pPr>
      <w:r w:rsidRPr="00796D05">
        <w:t>This difference complicates projections of population performance based on experiments in constant conditions, prompting calls for ecologists to explicitly incorporate environmental variation into predictions of performance in the field [5–7].</w:t>
      </w:r>
      <w:r>
        <w:t xml:space="preserve"> N</w:t>
      </w:r>
      <w:r w:rsidRPr="00A860FA">
        <w:t>onlinear averaging, the realized survival expectation sits below the value at the mean temperature (the Jensen penalty)</w:t>
      </w:r>
      <w:r>
        <w:t>.</w:t>
      </w:r>
    </w:p>
    <w:p w14:paraId="491B1E95" w14:textId="24A7AC39" w:rsidR="00796D05" w:rsidRDefault="002356D2" w:rsidP="006D55B8">
      <w:pPr>
        <w:pStyle w:val="ListParagraph"/>
        <w:numPr>
          <w:ilvl w:val="0"/>
          <w:numId w:val="3"/>
        </w:numPr>
        <w:spacing w:after="120" w:line="276" w:lineRule="auto"/>
      </w:pPr>
      <w:r>
        <w:t xml:space="preserve">Introduce concept of safety factor as the distance from which populations sit to their </w:t>
      </w:r>
      <w:r w:rsidR="006D55B8">
        <w:t xml:space="preserve">thermal maximum. This concept may not represent the real survival factor (come up with new name? Is there one already?) because organisms are dealing with a latent stress load from their variable environment. Add citations. Request push back on this or suggestions on how it could </w:t>
      </w:r>
      <w:proofErr w:type="spellStart"/>
      <w:proofErr w:type="gramStart"/>
      <w:r w:rsidR="006D55B8">
        <w:t>refined</w:t>
      </w:r>
      <w:proofErr w:type="gramEnd"/>
      <w:r w:rsidR="006D55B8">
        <w:t>.</w:t>
      </w:r>
      <w:r w:rsidRPr="002356D2">
        <w:t>Jensen's</w:t>
      </w:r>
      <w:proofErr w:type="spellEnd"/>
      <w:r w:rsidRPr="002356D2">
        <w:t xml:space="preserve"> inequality predicts that temperature variability increases performance on the accelerating part of the curve and decreases it on the decelerating part, and nonlinear averaging of the constant-temperature curve quantitatively predicts both increased and decreased population growth under fluctuating regimes (Bernhardt et al. 2018).</w:t>
      </w:r>
      <w:r>
        <w:t xml:space="preserve"> </w:t>
      </w:r>
    </w:p>
    <w:p w14:paraId="0B2530F0" w14:textId="07FDFF89" w:rsidR="00EC4364" w:rsidRDefault="006D55B8" w:rsidP="00EC4364">
      <w:pPr>
        <w:pStyle w:val="ListParagraph"/>
        <w:numPr>
          <w:ilvl w:val="0"/>
          <w:numId w:val="3"/>
        </w:numPr>
        <w:spacing w:after="120" w:line="276" w:lineRule="auto"/>
      </w:pPr>
      <w:r>
        <w:t xml:space="preserve">Introduce concept of </w:t>
      </w:r>
      <w:r w:rsidRPr="006D55B8">
        <w:t>a pre-paid</w:t>
      </w:r>
      <w:r>
        <w:t xml:space="preserve"> (better term?)</w:t>
      </w:r>
      <w:r w:rsidRPr="006D55B8">
        <w:t>, frontloaded transcriptome (high constitutive stress-gene expression, low headroom) versus a reactive, inducible one (low baseline, large inducible reach).</w:t>
      </w:r>
      <w:r w:rsidRPr="006D55B8">
        <w:t xml:space="preserve"> </w:t>
      </w:r>
      <w:r>
        <w:t xml:space="preserve">These </w:t>
      </w:r>
      <w:r w:rsidRPr="00A860FA">
        <w:t>predict different realized safety factors under fluctuation, because the reactive strategy can lag a fast extreme.</w:t>
      </w:r>
      <w:r>
        <w:t xml:space="preserve"> Reference Figure 1.</w:t>
      </w:r>
    </w:p>
    <w:p w14:paraId="0789ECC9" w14:textId="2DA6B462" w:rsidR="006D55B8" w:rsidRDefault="006D55B8" w:rsidP="006D55B8">
      <w:pPr>
        <w:pStyle w:val="ListParagraph"/>
        <w:numPr>
          <w:ilvl w:val="0"/>
          <w:numId w:val="3"/>
        </w:numPr>
        <w:spacing w:after="120" w:line="276" w:lineRule="auto"/>
      </w:pPr>
      <w:r>
        <w:t xml:space="preserve">Predictions (can be an introduction and then bulleted list of options): </w:t>
      </w:r>
      <w:r w:rsidRPr="00A860FA">
        <w:t>If the safety factor is oxygen-limited in the OCLTT sense, the survival limit will coincide with the NMR-measured cardiac and ventilatory collapse, and the safety factor will scale with aerobic-scope reserve across taxa</w:t>
      </w:r>
      <w:r>
        <w:t>;</w:t>
      </w:r>
      <w:r w:rsidRPr="006D55B8">
        <w:t xml:space="preserve"> if it is set by membrane or protein stability or by repair capacity, survival will fail at a temperature decoupled from the cardiac limit.</w:t>
      </w:r>
      <w:r w:rsidR="00EC4364">
        <w:t xml:space="preserve"> </w:t>
      </w:r>
      <w:r w:rsidR="00EC4364" w:rsidRPr="00A860FA">
        <w:t xml:space="preserve">Separately, realized survival under fluctuating regimes will match the nonlinear average of the constant-temperature curve only to the degree the organism lacks thermal memory; the prediction will under-forecast mortality in proportion to a taxon’s hardening capacity and the size of its inducible reserve. The sharpest single prediction: the species with the </w:t>
      </w:r>
      <w:r w:rsidR="00EC4364" w:rsidRPr="00A860FA">
        <w:lastRenderedPageBreak/>
        <w:t>largest inducible reserve will show the largest gap between predicted and realized heatwave survival.</w:t>
      </w:r>
    </w:p>
    <w:p w14:paraId="26607BDF" w14:textId="77777777" w:rsidR="00F15DC0" w:rsidRPr="00A860FA" w:rsidRDefault="00000000">
      <w:pPr>
        <w:pStyle w:val="Heading2"/>
      </w:pPr>
      <w:r w:rsidRPr="00A860FA">
        <w:rPr>
          <w:b w:val="0"/>
          <w:bCs w:val="0"/>
        </w:rPr>
        <w:t>Methods</w:t>
      </w:r>
    </w:p>
    <w:p w14:paraId="15747ED0" w14:textId="33045F1C" w:rsidR="00EC4364" w:rsidRDefault="00EC4364">
      <w:pPr>
        <w:spacing w:after="120" w:line="276" w:lineRule="auto"/>
      </w:pPr>
      <w:r>
        <w:rPr>
          <w:b/>
          <w:bCs/>
        </w:rPr>
        <w:t xml:space="preserve">Study System: </w:t>
      </w:r>
      <w:r>
        <w:t>Marine ectotherms that span from three taxa that occupy environments with a range of</w:t>
      </w:r>
      <w:r w:rsidRPr="00EC4364">
        <w:t xml:space="preserve"> thermal variability</w:t>
      </w:r>
      <w:r>
        <w:t xml:space="preserve"> (low, medium, high):</w:t>
      </w:r>
    </w:p>
    <w:p w14:paraId="223387C9" w14:textId="5E060475" w:rsidR="00EC4364" w:rsidRDefault="00EC4364" w:rsidP="00EC4364">
      <w:pPr>
        <w:pStyle w:val="ListParagraph"/>
        <w:numPr>
          <w:ilvl w:val="0"/>
          <w:numId w:val="4"/>
        </w:numPr>
        <w:spacing w:after="120" w:line="276" w:lineRule="auto"/>
      </w:pPr>
      <w:r>
        <w:t>(Low variability)</w:t>
      </w:r>
      <w:r w:rsidRPr="00EC4364">
        <w:t xml:space="preserve"> Antarctic eelpout </w:t>
      </w:r>
      <w:r>
        <w:t>(</w:t>
      </w:r>
      <w:proofErr w:type="spellStart"/>
      <w:r w:rsidRPr="00EC4364">
        <w:rPr>
          <w:i/>
          <w:iCs/>
        </w:rPr>
        <w:t>Pachycara</w:t>
      </w:r>
      <w:proofErr w:type="spellEnd"/>
      <w:r w:rsidRPr="00EC4364">
        <w:rPr>
          <w:i/>
          <w:iCs/>
        </w:rPr>
        <w:t xml:space="preserve"> </w:t>
      </w:r>
      <w:proofErr w:type="spellStart"/>
      <w:r w:rsidRPr="00EC4364">
        <w:rPr>
          <w:i/>
          <w:iCs/>
        </w:rPr>
        <w:t>brachycephalum</w:t>
      </w:r>
      <w:proofErr w:type="spellEnd"/>
      <w:r w:rsidRPr="00EC4364">
        <w:t>)</w:t>
      </w:r>
      <w:r>
        <w:t xml:space="preserve">: </w:t>
      </w:r>
      <w:r w:rsidRPr="00EC4364">
        <w:t>polar stenotherm, predicted small safety factor, reduced inducible heat-shock response</w:t>
      </w:r>
      <w:r>
        <w:t>.</w:t>
      </w:r>
    </w:p>
    <w:p w14:paraId="168EF13A" w14:textId="67415A95" w:rsidR="00EC4364" w:rsidRDefault="00EC4364" w:rsidP="00EC4364">
      <w:pPr>
        <w:pStyle w:val="ListParagraph"/>
        <w:numPr>
          <w:ilvl w:val="0"/>
          <w:numId w:val="4"/>
        </w:numPr>
        <w:spacing w:after="120" w:line="276" w:lineRule="auto"/>
      </w:pPr>
      <w:r>
        <w:t>(</w:t>
      </w:r>
      <w:r>
        <w:t>Medium</w:t>
      </w:r>
      <w:r>
        <w:t xml:space="preserve"> variability)</w:t>
      </w:r>
      <w:r>
        <w:t xml:space="preserve"> </w:t>
      </w:r>
      <w:r w:rsidR="00EE32E8">
        <w:t>T</w:t>
      </w:r>
      <w:r w:rsidR="00EE32E8" w:rsidRPr="00EE32E8">
        <w:t xml:space="preserve">emperate eelpout </w:t>
      </w:r>
      <w:r w:rsidR="00EE32E8">
        <w:t>(</w:t>
      </w:r>
      <w:proofErr w:type="spellStart"/>
      <w:r w:rsidR="00EE32E8" w:rsidRPr="00EE32E8">
        <w:t>Zoarces</w:t>
      </w:r>
      <w:proofErr w:type="spellEnd"/>
      <w:r w:rsidR="00EE32E8" w:rsidRPr="00EE32E8">
        <w:t xml:space="preserve"> </w:t>
      </w:r>
      <w:proofErr w:type="spellStart"/>
      <w:r w:rsidR="00EE32E8" w:rsidRPr="00EE32E8">
        <w:t>viviparus</w:t>
      </w:r>
      <w:proofErr w:type="spellEnd"/>
      <w:r w:rsidR="00EE32E8">
        <w:t xml:space="preserve">): </w:t>
      </w:r>
      <w:r w:rsidR="00EE32E8" w:rsidRPr="00EE32E8">
        <w:t xml:space="preserve">eurytherm of the variable Wadden Sea, the original </w:t>
      </w:r>
      <w:proofErr w:type="spellStart"/>
      <w:r w:rsidR="00EE32E8" w:rsidRPr="00EE32E8">
        <w:t>Pörtner</w:t>
      </w:r>
      <w:proofErr w:type="spellEnd"/>
      <w:r w:rsidR="00EE32E8" w:rsidRPr="00EE32E8">
        <w:t xml:space="preserve"> and Knust oxygen-limitation system, larger margin</w:t>
      </w:r>
      <w:r w:rsidR="00EE32E8">
        <w:t>.</w:t>
      </w:r>
    </w:p>
    <w:p w14:paraId="5CC851EF" w14:textId="286E89C7" w:rsidR="00EC4364" w:rsidRPr="00EE32E8" w:rsidRDefault="00EE32E8" w:rsidP="00EE32E8">
      <w:pPr>
        <w:pStyle w:val="ListParagraph"/>
        <w:numPr>
          <w:ilvl w:val="0"/>
          <w:numId w:val="4"/>
        </w:numPr>
        <w:spacing w:after="120" w:line="276" w:lineRule="auto"/>
      </w:pPr>
      <w:r>
        <w:t xml:space="preserve">(High variability) </w:t>
      </w:r>
      <w:r w:rsidRPr="00EE32E8">
        <w:t>Mytilus edulis</w:t>
      </w:r>
      <w:r>
        <w:t xml:space="preserve"> </w:t>
      </w:r>
      <w:r w:rsidRPr="00A860FA">
        <w:t>extreme variability, strong hardening</w:t>
      </w:r>
    </w:p>
    <w:p w14:paraId="03127E9B" w14:textId="77777777" w:rsidR="00EE32E8" w:rsidRDefault="00EE32E8">
      <w:pPr>
        <w:spacing w:after="120" w:line="276" w:lineRule="auto"/>
      </w:pPr>
      <w:r w:rsidRPr="00EE32E8">
        <w:rPr>
          <w:b/>
          <w:bCs/>
        </w:rPr>
        <w:t>Facilities</w:t>
      </w:r>
      <w:r w:rsidRPr="00A860FA">
        <w:t xml:space="preserve">: </w:t>
      </w:r>
    </w:p>
    <w:p w14:paraId="10E988D9" w14:textId="730DC251" w:rsidR="00EE32E8" w:rsidRPr="00EE32E8" w:rsidRDefault="00EE32E8" w:rsidP="00EE32E8">
      <w:pPr>
        <w:pStyle w:val="ListParagraph"/>
        <w:numPr>
          <w:ilvl w:val="0"/>
          <w:numId w:val="5"/>
        </w:numPr>
        <w:spacing w:after="120" w:line="276" w:lineRule="auto"/>
        <w:rPr>
          <w:b/>
          <w:bCs/>
        </w:rPr>
      </w:pPr>
      <w:r>
        <w:rPr>
          <w:b/>
          <w:bCs/>
        </w:rPr>
        <w:t xml:space="preserve">Felix Mark: </w:t>
      </w:r>
      <w:r w:rsidRPr="00A860FA">
        <w:t>respirometry and controlled-aquaria systems.</w:t>
      </w:r>
    </w:p>
    <w:p w14:paraId="489045C9" w14:textId="1D8BA299" w:rsidR="00EE32E8" w:rsidRPr="00EE32E8" w:rsidRDefault="00EE32E8" w:rsidP="00EE32E8">
      <w:pPr>
        <w:pStyle w:val="ListParagraph"/>
        <w:numPr>
          <w:ilvl w:val="0"/>
          <w:numId w:val="5"/>
        </w:numPr>
        <w:spacing w:after="120" w:line="276" w:lineRule="auto"/>
        <w:rPr>
          <w:b/>
          <w:bCs/>
        </w:rPr>
      </w:pPr>
      <w:r w:rsidRPr="00A860FA">
        <w:t xml:space="preserve">Christian Bock’s in vivo NMR for non-invasive cardiac, ventilatory, and energy-status readout; </w:t>
      </w:r>
    </w:p>
    <w:p w14:paraId="528BE630" w14:textId="77777777" w:rsidR="00EE32E8" w:rsidRPr="00EE32E8" w:rsidRDefault="00EE32E8" w:rsidP="00EE32E8">
      <w:pPr>
        <w:pStyle w:val="ListParagraph"/>
        <w:numPr>
          <w:ilvl w:val="0"/>
          <w:numId w:val="5"/>
        </w:numPr>
        <w:spacing w:after="120" w:line="276" w:lineRule="auto"/>
        <w:rPr>
          <w:b/>
          <w:bCs/>
        </w:rPr>
      </w:pPr>
      <w:r w:rsidRPr="00A860FA">
        <w:t xml:space="preserve">Gisela Lannig and Magnus Lucassen for mitochondrial and metabolic assays; </w:t>
      </w:r>
    </w:p>
    <w:p w14:paraId="0EC5A919" w14:textId="09E039A5" w:rsidR="00EE32E8" w:rsidRPr="00EE32E8" w:rsidRDefault="00EE32E8" w:rsidP="00EE32E8">
      <w:pPr>
        <w:pStyle w:val="ListParagraph"/>
        <w:numPr>
          <w:ilvl w:val="0"/>
          <w:numId w:val="5"/>
        </w:numPr>
        <w:spacing w:after="120" w:line="276" w:lineRule="auto"/>
        <w:rPr>
          <w:b/>
          <w:bCs/>
        </w:rPr>
      </w:pPr>
      <w:r w:rsidRPr="00A860FA">
        <w:t xml:space="preserve">Lars Harms for the genomics pipeline; and standard Bremerhaven </w:t>
      </w:r>
    </w:p>
    <w:p w14:paraId="5E7CEE9B" w14:textId="3131C110" w:rsidR="00F15DC0" w:rsidRDefault="00000000">
      <w:pPr>
        <w:spacing w:after="120" w:line="276" w:lineRule="auto"/>
      </w:pPr>
      <w:r w:rsidRPr="00A860FA">
        <w:rPr>
          <w:b/>
          <w:bCs/>
        </w:rPr>
        <w:t>Physiolog</w:t>
      </w:r>
      <w:r w:rsidR="00EC4364">
        <w:rPr>
          <w:b/>
          <w:bCs/>
        </w:rPr>
        <w:t xml:space="preserve">ical Assays: </w:t>
      </w:r>
      <w:r w:rsidRPr="00A860FA">
        <w:t>Full survival and sublethal thermal performance curves under constant temperatures (nominal optimum, critical maximum, breadth, super-optimal slope), then realized survival under ecologically realistic fluctuating and heatwave regime</w:t>
      </w:r>
      <w:r w:rsidR="00EC4364">
        <w:t>s</w:t>
      </w:r>
      <w:r w:rsidRPr="00A860FA">
        <w:t>. Aerobic scope by respirometry and the cardiac limit by in vivo NMR and by Arrhenius breakpoint, to test coincidence with the survival limit.</w:t>
      </w:r>
    </w:p>
    <w:p w14:paraId="2A3FFBAC" w14:textId="31134A53" w:rsidR="00EC4364" w:rsidRPr="00EC4364" w:rsidRDefault="00EC4364">
      <w:pPr>
        <w:spacing w:after="120" w:line="276" w:lineRule="auto"/>
      </w:pPr>
      <w:r w:rsidRPr="00EC4364">
        <w:rPr>
          <w:b/>
          <w:bCs/>
        </w:rPr>
        <w:t>Metabolic Assays:</w:t>
      </w:r>
      <w:r>
        <w:rPr>
          <w:b/>
          <w:bCs/>
        </w:rPr>
        <w:t xml:space="preserve"> </w:t>
      </w:r>
      <w:r>
        <w:t xml:space="preserve">byproducts of metabolism, ATPase, </w:t>
      </w:r>
      <w:proofErr w:type="spellStart"/>
      <w:r>
        <w:t>MALase</w:t>
      </w:r>
      <w:proofErr w:type="spellEnd"/>
      <w:r>
        <w:t>, protein turn over rates, other ideas – this is just a start.</w:t>
      </w:r>
    </w:p>
    <w:p w14:paraId="79DA8CEB" w14:textId="2E48D24D" w:rsidR="00F15DC0" w:rsidRPr="00A860FA" w:rsidRDefault="00000000">
      <w:pPr>
        <w:spacing w:after="120" w:line="276" w:lineRule="auto"/>
      </w:pPr>
      <w:r w:rsidRPr="00A860FA">
        <w:rPr>
          <w:b/>
          <w:bCs/>
        </w:rPr>
        <w:t>Genomics</w:t>
      </w:r>
      <w:r w:rsidR="00EC4364">
        <w:rPr>
          <w:b/>
          <w:bCs/>
        </w:rPr>
        <w:t xml:space="preserve">: </w:t>
      </w:r>
      <w:r w:rsidRPr="00A860FA">
        <w:t>Tag-Seq across constant and fluctuating regimes, weighted gene co-expression network analysis to isolate modules tracking the safety factor, frontloading quantification</w:t>
      </w:r>
      <w:r w:rsidR="00EC4364">
        <w:t xml:space="preserve"> (be more explicit about this)</w:t>
      </w:r>
      <w:r w:rsidRPr="00A860FA">
        <w:t>, and the critical test of whether the fluctuating-regime transcriptome equals the predicted superposition of constant-temperature responses or instead shows emergent cumulative-damage signatures.</w:t>
      </w:r>
    </w:p>
    <w:p w14:paraId="505D00B1" w14:textId="469EFF4A" w:rsidR="00F15DC0" w:rsidRPr="00A860FA" w:rsidRDefault="00EC4364">
      <w:pPr>
        <w:pStyle w:val="Heading2"/>
      </w:pPr>
      <w:r>
        <w:rPr>
          <w:b w:val="0"/>
          <w:bCs w:val="0"/>
        </w:rPr>
        <w:t>Timeline (18 months)</w:t>
      </w:r>
    </w:p>
    <w:p w14:paraId="1AF060BE" w14:textId="77777777" w:rsidR="00F15DC0" w:rsidRPr="00A860FA" w:rsidRDefault="00000000">
      <w:pPr>
        <w:spacing w:after="120" w:line="276" w:lineRule="auto"/>
      </w:pPr>
      <w:r w:rsidRPr="00A860FA">
        <w:t>Months 1 to 3: acclimation, husbandry, and constant-temperature performance curves for the two most tractable taxa. Months 4 to 9: fluctuating-regime survival trials plus NMR and respirometry. Months 6 to 14: sequencing and bioinformatics, which run in parallel. Months 12 to 18: the predictability analysis and write-up. The third taxon is the explicit scope valve, to be dropped if husbandry or sequencing slips.</w:t>
      </w:r>
    </w:p>
    <w:p w14:paraId="3009BDED" w14:textId="77777777" w:rsidR="00F15DC0" w:rsidRPr="00A860FA" w:rsidRDefault="00000000">
      <w:pPr>
        <w:pStyle w:val="Heading2"/>
      </w:pPr>
      <w:r w:rsidRPr="00A860FA">
        <w:rPr>
          <w:b w:val="0"/>
          <w:bCs w:val="0"/>
        </w:rPr>
        <w:lastRenderedPageBreak/>
        <w:t>Fit statement (for the host statement and cover note)</w:t>
      </w:r>
    </w:p>
    <w:p w14:paraId="00C8030B" w14:textId="77777777" w:rsidR="00F15DC0" w:rsidRPr="00A860FA" w:rsidRDefault="00000000">
      <w:pPr>
        <w:spacing w:after="120" w:line="276" w:lineRule="auto"/>
      </w:pPr>
      <w:r w:rsidRPr="00A860FA">
        <w:rPr>
          <w:i/>
          <w:iCs/>
        </w:rPr>
        <w:t>This project unites my functional-genomic approach to physiological performance with the Mark group’s oxygen-limitation framework and AWI’s unique in vivo NMR capability, to determine whether the survival safety factor against extreme events is oxygen-set and whether it can be predicted from constant-temperature data. It extends the safety-factor logic of my dissertation from biomechanical attachment to whole-organism thermal survival, establishing an independent line that the Bremerhaven facilities are singularly equipped to enable.</w:t>
      </w:r>
    </w:p>
    <w:p w14:paraId="14297D96" w14:textId="49529CCD" w:rsidR="00F15DC0" w:rsidRPr="00A860FA" w:rsidRDefault="00EE32E8">
      <w:pPr>
        <w:pStyle w:val="Heading2"/>
      </w:pPr>
      <w:r>
        <w:rPr>
          <w:b w:val="0"/>
          <w:bCs w:val="0"/>
        </w:rPr>
        <w:t>References</w:t>
      </w:r>
    </w:p>
    <w:p w14:paraId="16C3AD00" w14:textId="77777777" w:rsidR="00F15DC0" w:rsidRPr="00A860FA" w:rsidRDefault="00000000">
      <w:pPr>
        <w:pStyle w:val="ListParagraph"/>
        <w:numPr>
          <w:ilvl w:val="0"/>
          <w:numId w:val="2"/>
        </w:numPr>
        <w:spacing w:after="60" w:line="264" w:lineRule="auto"/>
      </w:pPr>
      <w:r w:rsidRPr="00A860FA">
        <w:rPr>
          <w:sz w:val="21"/>
          <w:szCs w:val="21"/>
        </w:rPr>
        <w:t>Denny, M. (2017). The fallacy of the average: on the ubiquity, utility and continuing novelty of Jensen’s inequality. Journal of Experimental Biology 220, 139-146.</w:t>
      </w:r>
    </w:p>
    <w:p w14:paraId="6BD09F3E" w14:textId="77777777" w:rsidR="00F15DC0" w:rsidRPr="00A860FA" w:rsidRDefault="00000000">
      <w:pPr>
        <w:pStyle w:val="ListParagraph"/>
        <w:numPr>
          <w:ilvl w:val="0"/>
          <w:numId w:val="2"/>
        </w:numPr>
        <w:spacing w:after="60" w:line="264" w:lineRule="auto"/>
      </w:pPr>
      <w:r w:rsidRPr="00A860FA">
        <w:rPr>
          <w:sz w:val="21"/>
          <w:szCs w:val="21"/>
        </w:rPr>
        <w:t>Bernhardt, J. R., Sunday, J. M., Thompson, P. L., &amp; O’Connor, M. I. (2018). Nonlinear averaging of thermal experience predicts population growth rates in a thermally variable environment. Proceedings of the Royal Society B 285, 20181076.</w:t>
      </w:r>
    </w:p>
    <w:p w14:paraId="3D7A0599" w14:textId="77777777" w:rsidR="00F15DC0" w:rsidRPr="00A860FA" w:rsidRDefault="00000000">
      <w:pPr>
        <w:pStyle w:val="ListParagraph"/>
        <w:numPr>
          <w:ilvl w:val="0"/>
          <w:numId w:val="2"/>
        </w:numPr>
        <w:spacing w:after="60" w:line="264" w:lineRule="auto"/>
      </w:pPr>
      <w:r w:rsidRPr="00A860FA">
        <w:rPr>
          <w:sz w:val="21"/>
          <w:szCs w:val="21"/>
        </w:rPr>
        <w:t>Gouhier, T. C., &amp; Pillai, P. (2019). Commentary: Nonlinear averaging of thermal experience predicts population growth rates. Frontiers in Ecology and Evolution 7, 236.  [Read with Bernhardt et al.; the critique to design against.]</w:t>
      </w:r>
    </w:p>
    <w:p w14:paraId="0D358864" w14:textId="77777777" w:rsidR="00F15DC0" w:rsidRPr="00A860FA" w:rsidRDefault="00000000">
      <w:pPr>
        <w:pStyle w:val="ListParagraph"/>
        <w:numPr>
          <w:ilvl w:val="0"/>
          <w:numId w:val="2"/>
        </w:numPr>
        <w:spacing w:after="60" w:line="264" w:lineRule="auto"/>
      </w:pPr>
      <w:r w:rsidRPr="00A860FA">
        <w:rPr>
          <w:sz w:val="21"/>
          <w:szCs w:val="21"/>
        </w:rPr>
        <w:t>Dowd, W. W., King, F. A., &amp; Denny, M. W. (2015). Thermal variation, thermal extremes and the physiological performance of individuals. Journal of Experimental Biology 218, 1956-1967.</w:t>
      </w:r>
    </w:p>
    <w:p w14:paraId="59BE1495" w14:textId="77777777" w:rsidR="00F15DC0" w:rsidRPr="00A860FA" w:rsidRDefault="00000000">
      <w:pPr>
        <w:pStyle w:val="ListParagraph"/>
        <w:numPr>
          <w:ilvl w:val="0"/>
          <w:numId w:val="2"/>
        </w:numPr>
        <w:spacing w:after="60" w:line="264" w:lineRule="auto"/>
      </w:pPr>
      <w:r w:rsidRPr="00A860FA">
        <w:rPr>
          <w:sz w:val="21"/>
          <w:szCs w:val="21"/>
        </w:rPr>
        <w:t xml:space="preserve">Pinsky, M. L., </w:t>
      </w:r>
      <w:proofErr w:type="spellStart"/>
      <w:r w:rsidRPr="00A860FA">
        <w:rPr>
          <w:sz w:val="21"/>
          <w:szCs w:val="21"/>
        </w:rPr>
        <w:t>Eikeset</w:t>
      </w:r>
      <w:proofErr w:type="spellEnd"/>
      <w:r w:rsidRPr="00A860FA">
        <w:rPr>
          <w:sz w:val="21"/>
          <w:szCs w:val="21"/>
        </w:rPr>
        <w:t>, A. M., McCauley, D. J., Payne, J. L., &amp; Sunday, J. M. (2019). Greater vulnerability to warming of marine versus terrestrial ectotherms. Nature 569, 108-111.</w:t>
      </w:r>
    </w:p>
    <w:p w14:paraId="6C287111" w14:textId="77777777" w:rsidR="00F15DC0" w:rsidRPr="00A860FA" w:rsidRDefault="00000000">
      <w:pPr>
        <w:pStyle w:val="ListParagraph"/>
        <w:numPr>
          <w:ilvl w:val="0"/>
          <w:numId w:val="2"/>
        </w:numPr>
        <w:spacing w:after="60" w:line="264" w:lineRule="auto"/>
      </w:pPr>
      <w:r w:rsidRPr="00A860FA">
        <w:rPr>
          <w:sz w:val="21"/>
          <w:szCs w:val="21"/>
        </w:rPr>
        <w:t xml:space="preserve">Barshis, D. J., Ladner, J. T., Oliver, T. A., Seneca, F. O., Traylor-Knowles, N., &amp; </w:t>
      </w:r>
      <w:proofErr w:type="spellStart"/>
      <w:r w:rsidRPr="00A860FA">
        <w:rPr>
          <w:sz w:val="21"/>
          <w:szCs w:val="21"/>
        </w:rPr>
        <w:t>Palumbi</w:t>
      </w:r>
      <w:proofErr w:type="spellEnd"/>
      <w:r w:rsidRPr="00A860FA">
        <w:rPr>
          <w:sz w:val="21"/>
          <w:szCs w:val="21"/>
        </w:rPr>
        <w:t>, S. R. (2013). Genomic basis for coral resilience to climate change. PNAS 110, 1387-1392.  [Transcriptional frontloading.]</w:t>
      </w:r>
    </w:p>
    <w:p w14:paraId="66868A51" w14:textId="77777777" w:rsidR="00F15DC0" w:rsidRPr="00A860FA" w:rsidRDefault="00000000">
      <w:pPr>
        <w:pStyle w:val="ListParagraph"/>
        <w:numPr>
          <w:ilvl w:val="0"/>
          <w:numId w:val="2"/>
        </w:numPr>
        <w:spacing w:after="60" w:line="264" w:lineRule="auto"/>
      </w:pPr>
      <w:r w:rsidRPr="00A860FA">
        <w:rPr>
          <w:sz w:val="21"/>
          <w:szCs w:val="21"/>
        </w:rPr>
        <w:t>Lefevre, S. (2016). Are global warming and ocean acidification conspiring against marine ectotherms? A meta-analysis. Conservation Physiology 4, cow009.  [The OCLTT-skeptical meta-analysis.]</w:t>
      </w:r>
    </w:p>
    <w:p w14:paraId="52752A0E" w14:textId="77777777" w:rsidR="00F15DC0" w:rsidRPr="00A860FA" w:rsidRDefault="00000000">
      <w:pPr>
        <w:pStyle w:val="ListParagraph"/>
        <w:numPr>
          <w:ilvl w:val="0"/>
          <w:numId w:val="2"/>
        </w:numPr>
        <w:spacing w:after="60" w:line="264" w:lineRule="auto"/>
      </w:pPr>
      <w:proofErr w:type="spellStart"/>
      <w:r w:rsidRPr="00A860FA">
        <w:rPr>
          <w:sz w:val="21"/>
          <w:szCs w:val="21"/>
        </w:rPr>
        <w:t>Pörtner</w:t>
      </w:r>
      <w:proofErr w:type="spellEnd"/>
      <w:r w:rsidRPr="00A860FA">
        <w:rPr>
          <w:sz w:val="21"/>
          <w:szCs w:val="21"/>
        </w:rPr>
        <w:t xml:space="preserve">, H.-O., Bock, C., &amp; Mark, F. C. (2017). Oxygen- and capacity-limited thermal tolerance: bridging ecology and physiology. Journal of Experimental Biology 220, 2685-2696.  [Read alongside </w:t>
      </w:r>
      <w:proofErr w:type="spellStart"/>
      <w:r w:rsidRPr="00A860FA">
        <w:rPr>
          <w:sz w:val="21"/>
          <w:szCs w:val="21"/>
        </w:rPr>
        <w:t>Jutfelt</w:t>
      </w:r>
      <w:proofErr w:type="spellEnd"/>
      <w:r w:rsidRPr="00A860FA">
        <w:rPr>
          <w:sz w:val="21"/>
          <w:szCs w:val="21"/>
        </w:rPr>
        <w:t xml:space="preserve"> et al. 2018, the rebuttal.]</w:t>
      </w:r>
    </w:p>
    <w:p w14:paraId="73DB32C0" w14:textId="77777777" w:rsidR="00F15DC0" w:rsidRPr="00A860FA" w:rsidRDefault="00000000">
      <w:pPr>
        <w:pStyle w:val="ListParagraph"/>
        <w:numPr>
          <w:ilvl w:val="0"/>
          <w:numId w:val="2"/>
        </w:numPr>
        <w:spacing w:after="60" w:line="264" w:lineRule="auto"/>
      </w:pPr>
      <w:r w:rsidRPr="00A860FA">
        <w:rPr>
          <w:sz w:val="21"/>
          <w:szCs w:val="21"/>
        </w:rPr>
        <w:t xml:space="preserve">Hofmann, G. E., Buckley, B. A., Airaksinen, S., Keen, J. E., &amp; Somero, G. N. (2000). Heat-shock protein expression is absent in the Antarctic fish </w:t>
      </w:r>
      <w:proofErr w:type="spellStart"/>
      <w:r w:rsidRPr="00A860FA">
        <w:rPr>
          <w:sz w:val="21"/>
          <w:szCs w:val="21"/>
        </w:rPr>
        <w:t>Trematomus</w:t>
      </w:r>
      <w:proofErr w:type="spellEnd"/>
      <w:r w:rsidRPr="00A860FA">
        <w:rPr>
          <w:sz w:val="21"/>
          <w:szCs w:val="21"/>
        </w:rPr>
        <w:t xml:space="preserve"> </w:t>
      </w:r>
      <w:proofErr w:type="spellStart"/>
      <w:r w:rsidRPr="00A860FA">
        <w:rPr>
          <w:sz w:val="21"/>
          <w:szCs w:val="21"/>
        </w:rPr>
        <w:t>bernacchii</w:t>
      </w:r>
      <w:proofErr w:type="spellEnd"/>
      <w:r w:rsidRPr="00A860FA">
        <w:rPr>
          <w:sz w:val="21"/>
          <w:szCs w:val="21"/>
        </w:rPr>
        <w:t>. Journal of Experimental Biology 203, 2331-2339.</w:t>
      </w:r>
    </w:p>
    <w:p w14:paraId="672EE477" w14:textId="77777777" w:rsidR="00EE32E8" w:rsidRPr="00A860FA" w:rsidRDefault="00000000" w:rsidP="00EE32E8">
      <w:pPr>
        <w:pStyle w:val="Heading2"/>
      </w:pPr>
      <w:r w:rsidRPr="00A860FA">
        <w:rPr>
          <w:b w:val="0"/>
          <w:bCs w:val="0"/>
          <w:sz w:val="21"/>
          <w:szCs w:val="21"/>
        </w:rPr>
        <w:t>Sokolova, I. M. (2013). Energy-limited tolerance to stress as a conceptual framework. Integrative and Comparative Biology 53, 597-608.</w:t>
      </w:r>
      <w:r w:rsidR="00EE32E8">
        <w:rPr>
          <w:sz w:val="21"/>
          <w:szCs w:val="21"/>
        </w:rPr>
        <w:br/>
      </w:r>
      <w:r w:rsidR="00EE32E8">
        <w:rPr>
          <w:sz w:val="21"/>
          <w:szCs w:val="21"/>
        </w:rPr>
        <w:br/>
      </w:r>
      <w:r w:rsidR="00EE32E8" w:rsidRPr="00A860FA">
        <w:rPr>
          <w:b w:val="0"/>
          <w:bCs w:val="0"/>
        </w:rPr>
        <w:t>Figure 1: conceptual model</w:t>
      </w:r>
    </w:p>
    <w:p w14:paraId="0CFF920F" w14:textId="77777777" w:rsidR="00EE32E8" w:rsidRPr="00A860FA" w:rsidRDefault="00EE32E8" w:rsidP="00EE32E8">
      <w:pPr>
        <w:spacing w:after="120" w:line="276" w:lineRule="auto"/>
      </w:pPr>
      <w:r w:rsidRPr="00A860FA">
        <w:t xml:space="preserve">A single asymmetric thermal performance curve with a gradual rise to the optimum and a steep collapse to the critical thermal maximum. Overlay the realized thermal regime as a distribution on the temperature axis. Show, by nonlinear averaging, that the realized survival expectation sits below the value at the mean temperature (the Jensen penalty), and label the gap between the critical thermal maximum and the realized thermal load as the safety factor. A side panel shows two genomic strategies that produce the same nominal limit: a pre-paid, frontloaded </w:t>
      </w:r>
      <w:r w:rsidRPr="00A860FA">
        <w:lastRenderedPageBreak/>
        <w:t>transcriptome (high constitutive stress-gene expression, low headroom) versus a reactive, inducible one (low baseline, large inducible reach). The figure asserts that these two architectures predict different realized safety factors under fluctuation, because the reactive strategy can lag a fast extreme.</w:t>
      </w:r>
    </w:p>
    <w:p w14:paraId="3B36DD85" w14:textId="43930159" w:rsidR="00F15DC0" w:rsidRPr="00A860FA" w:rsidRDefault="00F15DC0">
      <w:pPr>
        <w:pStyle w:val="ListParagraph"/>
        <w:numPr>
          <w:ilvl w:val="0"/>
          <w:numId w:val="2"/>
        </w:numPr>
        <w:spacing w:after="60" w:line="264" w:lineRule="auto"/>
      </w:pPr>
    </w:p>
    <w:sectPr w:rsidR="00F15DC0" w:rsidRPr="00A860FA">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C420BB" w14:textId="77777777" w:rsidR="00962774" w:rsidRDefault="00962774">
      <w:r>
        <w:separator/>
      </w:r>
    </w:p>
  </w:endnote>
  <w:endnote w:type="continuationSeparator" w:id="0">
    <w:p w14:paraId="201CDEBD" w14:textId="77777777" w:rsidR="00962774" w:rsidRDefault="009627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496E2" w14:textId="77777777" w:rsidR="00F15DC0" w:rsidRDefault="00000000">
    <w:pPr>
      <w:pBdr>
        <w:top w:val="single" w:sz="4" w:space="6" w:color="D9D9D9"/>
      </w:pBdr>
      <w:tabs>
        <w:tab w:val="right" w:pos="9026"/>
      </w:tabs>
      <w:spacing w:before="60"/>
    </w:pPr>
    <w:r>
      <w:rPr>
        <w:color w:val="7F7F7F"/>
        <w:sz w:val="16"/>
        <w:szCs w:val="16"/>
      </w:rPr>
      <w:t>Matthew N. George  ·  Humboldt Research Fellowship  ·  P1</w:t>
    </w:r>
    <w:r>
      <w:rPr>
        <w:color w:val="7F7F7F"/>
        <w:sz w:val="16"/>
        <w:szCs w:val="16"/>
      </w:rPr>
      <w:tab/>
      <w:t xml:space="preserve">Page </w:t>
    </w:r>
    <w:r>
      <w:rPr>
        <w:color w:val="7F7F7F"/>
        <w:sz w:val="16"/>
        <w:szCs w:val="16"/>
      </w:rPr>
      <w:fldChar w:fldCharType="begin"/>
    </w:r>
    <w:r>
      <w:rPr>
        <w:color w:val="7F7F7F"/>
        <w:sz w:val="16"/>
        <w:szCs w:val="16"/>
      </w:rPr>
      <w:instrText>PAGE</w:instrText>
    </w:r>
    <w:r>
      <w:rPr>
        <w:color w:val="7F7F7F"/>
        <w:sz w:val="16"/>
        <w:szCs w:val="16"/>
      </w:rPr>
      <w:fldChar w:fldCharType="separate"/>
    </w:r>
    <w:r w:rsidR="00A860FA">
      <w:rPr>
        <w:noProof/>
        <w:color w:val="7F7F7F"/>
        <w:sz w:val="16"/>
        <w:szCs w:val="16"/>
      </w:rPr>
      <w:t>1</w:t>
    </w:r>
    <w:r>
      <w:rPr>
        <w:color w:val="7F7F7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B6BEB" w14:textId="77777777" w:rsidR="00962774" w:rsidRDefault="00962774">
      <w:r>
        <w:separator/>
      </w:r>
    </w:p>
  </w:footnote>
  <w:footnote w:type="continuationSeparator" w:id="0">
    <w:p w14:paraId="5D73AC7C" w14:textId="77777777" w:rsidR="00962774" w:rsidRDefault="0096277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6641"/>
    <w:multiLevelType w:val="hybridMultilevel"/>
    <w:tmpl w:val="297E37F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29235C9"/>
    <w:multiLevelType w:val="hybridMultilevel"/>
    <w:tmpl w:val="2474D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4A6A0E"/>
    <w:multiLevelType w:val="hybridMultilevel"/>
    <w:tmpl w:val="ACA47CAE"/>
    <w:lvl w:ilvl="0" w:tplc="90C69350">
      <w:start w:val="1"/>
      <w:numFmt w:val="decimal"/>
      <w:lvlText w:val="%1."/>
      <w:lvlJc w:val="left"/>
      <w:pPr>
        <w:ind w:left="540" w:hanging="360"/>
      </w:pPr>
    </w:lvl>
    <w:lvl w:ilvl="1" w:tplc="0D2A6EB0">
      <w:numFmt w:val="decimal"/>
      <w:lvlText w:val=""/>
      <w:lvlJc w:val="left"/>
    </w:lvl>
    <w:lvl w:ilvl="2" w:tplc="E4FE8566">
      <w:numFmt w:val="decimal"/>
      <w:lvlText w:val=""/>
      <w:lvlJc w:val="left"/>
    </w:lvl>
    <w:lvl w:ilvl="3" w:tplc="28326088">
      <w:numFmt w:val="decimal"/>
      <w:lvlText w:val=""/>
      <w:lvlJc w:val="left"/>
    </w:lvl>
    <w:lvl w:ilvl="4" w:tplc="DBAC0B44">
      <w:numFmt w:val="decimal"/>
      <w:lvlText w:val=""/>
      <w:lvlJc w:val="left"/>
    </w:lvl>
    <w:lvl w:ilvl="5" w:tplc="7956767C">
      <w:numFmt w:val="decimal"/>
      <w:lvlText w:val=""/>
      <w:lvlJc w:val="left"/>
    </w:lvl>
    <w:lvl w:ilvl="6" w:tplc="0B7CF120">
      <w:numFmt w:val="decimal"/>
      <w:lvlText w:val=""/>
      <w:lvlJc w:val="left"/>
    </w:lvl>
    <w:lvl w:ilvl="7" w:tplc="F8D0F53A">
      <w:numFmt w:val="decimal"/>
      <w:lvlText w:val=""/>
      <w:lvlJc w:val="left"/>
    </w:lvl>
    <w:lvl w:ilvl="8" w:tplc="38323066">
      <w:numFmt w:val="decimal"/>
      <w:lvlText w:val=""/>
      <w:lvlJc w:val="left"/>
    </w:lvl>
  </w:abstractNum>
  <w:abstractNum w:abstractNumId="3" w15:restartNumberingAfterBreak="0">
    <w:nsid w:val="69F06169"/>
    <w:multiLevelType w:val="hybridMultilevel"/>
    <w:tmpl w:val="ED2A24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E1677C5"/>
    <w:multiLevelType w:val="hybridMultilevel"/>
    <w:tmpl w:val="42203AE8"/>
    <w:lvl w:ilvl="0" w:tplc="550AD844">
      <w:start w:val="1"/>
      <w:numFmt w:val="bullet"/>
      <w:lvlText w:val="●"/>
      <w:lvlJc w:val="left"/>
      <w:pPr>
        <w:ind w:left="720" w:hanging="360"/>
      </w:pPr>
    </w:lvl>
    <w:lvl w:ilvl="1" w:tplc="2C122F84">
      <w:start w:val="1"/>
      <w:numFmt w:val="bullet"/>
      <w:lvlText w:val="○"/>
      <w:lvlJc w:val="left"/>
      <w:pPr>
        <w:ind w:left="1440" w:hanging="360"/>
      </w:pPr>
    </w:lvl>
    <w:lvl w:ilvl="2" w:tplc="2126232C">
      <w:start w:val="1"/>
      <w:numFmt w:val="bullet"/>
      <w:lvlText w:val="■"/>
      <w:lvlJc w:val="left"/>
      <w:pPr>
        <w:ind w:left="2160" w:hanging="360"/>
      </w:pPr>
    </w:lvl>
    <w:lvl w:ilvl="3" w:tplc="C170813E">
      <w:start w:val="1"/>
      <w:numFmt w:val="bullet"/>
      <w:lvlText w:val="●"/>
      <w:lvlJc w:val="left"/>
      <w:pPr>
        <w:ind w:left="2880" w:hanging="360"/>
      </w:pPr>
    </w:lvl>
    <w:lvl w:ilvl="4" w:tplc="A208A6A4">
      <w:start w:val="1"/>
      <w:numFmt w:val="bullet"/>
      <w:lvlText w:val="○"/>
      <w:lvlJc w:val="left"/>
      <w:pPr>
        <w:ind w:left="3600" w:hanging="360"/>
      </w:pPr>
    </w:lvl>
    <w:lvl w:ilvl="5" w:tplc="72522004">
      <w:start w:val="1"/>
      <w:numFmt w:val="bullet"/>
      <w:lvlText w:val="■"/>
      <w:lvlJc w:val="left"/>
      <w:pPr>
        <w:ind w:left="4320" w:hanging="360"/>
      </w:pPr>
    </w:lvl>
    <w:lvl w:ilvl="6" w:tplc="AAD2C38C">
      <w:start w:val="1"/>
      <w:numFmt w:val="bullet"/>
      <w:lvlText w:val="●"/>
      <w:lvlJc w:val="left"/>
      <w:pPr>
        <w:ind w:left="5040" w:hanging="360"/>
      </w:pPr>
    </w:lvl>
    <w:lvl w:ilvl="7" w:tplc="787A56AC">
      <w:start w:val="1"/>
      <w:numFmt w:val="bullet"/>
      <w:lvlText w:val="●"/>
      <w:lvlJc w:val="left"/>
      <w:pPr>
        <w:ind w:left="5760" w:hanging="360"/>
      </w:pPr>
    </w:lvl>
    <w:lvl w:ilvl="8" w:tplc="9B1612CE">
      <w:start w:val="1"/>
      <w:numFmt w:val="bullet"/>
      <w:lvlText w:val="●"/>
      <w:lvlJc w:val="left"/>
      <w:pPr>
        <w:ind w:left="6480" w:hanging="360"/>
      </w:pPr>
    </w:lvl>
  </w:abstractNum>
  <w:num w:numId="1" w16cid:durableId="1963463426">
    <w:abstractNumId w:val="4"/>
    <w:lvlOverride w:ilvl="0">
      <w:startOverride w:val="1"/>
    </w:lvlOverride>
  </w:num>
  <w:num w:numId="2" w16cid:durableId="459224744">
    <w:abstractNumId w:val="2"/>
    <w:lvlOverride w:ilvl="0">
      <w:startOverride w:val="1"/>
    </w:lvlOverride>
  </w:num>
  <w:num w:numId="3" w16cid:durableId="1839688650">
    <w:abstractNumId w:val="3"/>
  </w:num>
  <w:num w:numId="4" w16cid:durableId="1575310652">
    <w:abstractNumId w:val="1"/>
  </w:num>
  <w:num w:numId="5" w16cid:durableId="761338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DC0"/>
    <w:rsid w:val="002345BA"/>
    <w:rsid w:val="002356D2"/>
    <w:rsid w:val="006D55B8"/>
    <w:rsid w:val="00796D05"/>
    <w:rsid w:val="00962774"/>
    <w:rsid w:val="00A860FA"/>
    <w:rsid w:val="00EC4364"/>
    <w:rsid w:val="00EE32E8"/>
    <w:rsid w:val="00F15D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2B19A"/>
  <w15:docId w15:val="{83202133-896C-4DF7-8FE4-0B5EE38E8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keepNext/>
      <w:spacing w:before="240" w:after="10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1305</Words>
  <Characters>7444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Pre-paid or reactive? The physiological and genomic architecture of the survival safety factor against thermal extremes</vt:lpstr>
    </vt:vector>
  </TitlesOfParts>
  <Company/>
  <LinksUpToDate>false</LinksUpToDate>
  <CharactersWithSpaces>8732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Pre-paid or reactive? The physiological and genomic architecture of the survival safety factor against thermal extremes</dc:title>
  <dc:creator>Matthew N. George</dc:creator>
  <cp:lastModifiedBy>Matt George</cp:lastModifiedBy>
  <cp:revision>2</cp:revision>
  <dcterms:created xsi:type="dcterms:W3CDTF">2026-06-30T02:02:00Z</dcterms:created>
  <dcterms:modified xsi:type="dcterms:W3CDTF">2026-06-30T05:44:00Z</dcterms:modified>
</cp:coreProperties>
</file>