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BE4E" w14:textId="0D48465B" w:rsidR="00F72D5A" w:rsidRPr="00B67588" w:rsidRDefault="00000000">
      <w:pPr>
        <w:spacing w:after="160"/>
        <w:rPr>
          <w:b/>
          <w:bCs/>
          <w:color w:val="000000"/>
          <w:sz w:val="30"/>
          <w:szCs w:val="30"/>
        </w:rPr>
      </w:pPr>
      <w:r w:rsidRPr="00B67588">
        <w:rPr>
          <w:b/>
          <w:bCs/>
          <w:color w:val="000000"/>
          <w:sz w:val="30"/>
          <w:szCs w:val="30"/>
        </w:rPr>
        <w:t>The physiological and genomic architecture of the thermal safety margin across taxa</w:t>
      </w:r>
    </w:p>
    <w:p w14:paraId="105896C6" w14:textId="77777777" w:rsidR="00F72D5A" w:rsidRPr="00B67588" w:rsidRDefault="00000000">
      <w:pPr>
        <w:spacing w:after="30"/>
        <w:rPr>
          <w:color w:val="000000"/>
        </w:rPr>
      </w:pPr>
      <w:r w:rsidRPr="00B67588">
        <w:rPr>
          <w:b/>
          <w:bCs/>
          <w:color w:val="000000"/>
        </w:rPr>
        <w:t xml:space="preserve">Applicant:  </w:t>
      </w:r>
      <w:r w:rsidRPr="00B67588">
        <w:rPr>
          <w:color w:val="000000"/>
        </w:rPr>
        <w:t>Matthew N. George</w:t>
      </w:r>
    </w:p>
    <w:p w14:paraId="319CD4A4" w14:textId="77777777" w:rsidR="00F72D5A" w:rsidRPr="00B67588" w:rsidRDefault="00000000">
      <w:pPr>
        <w:spacing w:after="30"/>
        <w:rPr>
          <w:color w:val="000000"/>
        </w:rPr>
      </w:pPr>
      <w:r w:rsidRPr="00B67588">
        <w:rPr>
          <w:b/>
          <w:bCs/>
          <w:color w:val="000000"/>
        </w:rPr>
        <w:t xml:space="preserve">Proposed host:  </w:t>
      </w:r>
      <w:r w:rsidRPr="00B67588">
        <w:rPr>
          <w:color w:val="000000"/>
        </w:rPr>
        <w:t>Felix Christopher Mark, Alfred Wegener Institute (AWI), Bremerhaven</w:t>
      </w:r>
    </w:p>
    <w:p w14:paraId="68965F95" w14:textId="77777777" w:rsidR="00F72D5A" w:rsidRPr="00B67588" w:rsidRDefault="00000000">
      <w:pPr>
        <w:spacing w:after="160"/>
        <w:rPr>
          <w:color w:val="000000"/>
        </w:rPr>
      </w:pPr>
      <w:r w:rsidRPr="00B67588">
        <w:rPr>
          <w:b/>
          <w:bCs/>
          <w:color w:val="000000"/>
        </w:rPr>
        <w:t xml:space="preserve">Collaborator:  </w:t>
      </w:r>
      <w:r w:rsidRPr="00B67588">
        <w:rPr>
          <w:color w:val="000000"/>
        </w:rPr>
        <w:t>Paolo Domenici, CNR Institute of Biophysics, Italy</w:t>
      </w:r>
    </w:p>
    <w:p w14:paraId="6993BF6D" w14:textId="77777777" w:rsidR="00466EE0" w:rsidRDefault="00000000" w:rsidP="00B67588">
      <w:pPr>
        <w:spacing w:after="140" w:line="264" w:lineRule="auto"/>
        <w:jc w:val="both"/>
        <w:rPr>
          <w:color w:val="000000"/>
        </w:rPr>
      </w:pPr>
      <w:r w:rsidRPr="00B67588">
        <w:rPr>
          <w:b/>
          <w:bCs/>
          <w:color w:val="000000"/>
        </w:rPr>
        <w:t>Introduction</w:t>
      </w:r>
      <w:r w:rsidR="00B67588">
        <w:rPr>
          <w:color w:val="000000"/>
        </w:rPr>
        <w:br/>
      </w:r>
      <w:r w:rsidR="00A4210E" w:rsidRPr="00B67588">
        <w:rPr>
          <w:color w:val="000000"/>
        </w:rPr>
        <w:t>W</w:t>
      </w:r>
      <w:r w:rsidRPr="00B67588">
        <w:rPr>
          <w:color w:val="000000"/>
        </w:rPr>
        <w:t xml:space="preserve">arming is now proceeding faster than </w:t>
      </w:r>
      <w:r w:rsidR="00A4210E" w:rsidRPr="00B67588">
        <w:rPr>
          <w:color w:val="000000"/>
        </w:rPr>
        <w:t>many</w:t>
      </w:r>
      <w:r w:rsidRPr="00B67588">
        <w:rPr>
          <w:color w:val="000000"/>
        </w:rPr>
        <w:t xml:space="preserve"> populations can adapt</w:t>
      </w:r>
      <w:r w:rsidR="00AC0916" w:rsidRPr="00B67588">
        <w:rPr>
          <w:color w:val="000000"/>
        </w:rPr>
        <w:t>,</w:t>
      </w:r>
      <w:r w:rsidRPr="00B67588">
        <w:rPr>
          <w:color w:val="000000"/>
        </w:rPr>
        <w:t xml:space="preserve"> compressing the distance between the temperatures they experience and the limits they can tolerate (Hoffmann &amp; Sgrò 2011).</w:t>
      </w:r>
      <w:r w:rsidR="00AC0916" w:rsidRPr="00B67588">
        <w:rPr>
          <w:color w:val="000000"/>
        </w:rPr>
        <w:t xml:space="preserve"> The ramifications of this compression are particularly relevant for marine ectotherms, which </w:t>
      </w:r>
      <w:r w:rsidR="00BF4086" w:rsidRPr="00B67588">
        <w:rPr>
          <w:color w:val="000000"/>
        </w:rPr>
        <w:t>already live closer to their thermal maxima</w:t>
      </w:r>
      <w:r w:rsidR="00AC0916" w:rsidRPr="00B67588">
        <w:rPr>
          <w:color w:val="000000"/>
        </w:rPr>
        <w:t xml:space="preserve"> than terrestrial ectotherms at comparable latitudes (Pinsky et al. 2019). </w:t>
      </w:r>
      <w:r w:rsidR="00916E04" w:rsidRPr="00916E04">
        <w:rPr>
          <w:color w:val="000000"/>
        </w:rPr>
        <w:t xml:space="preserve">Thermal tolerance has traditionally been characterized by fitting performance and survival curves across a range of constant laboratory temperatures and referencing them to a mean field temperature. Mean temperature, however, is a poor proxy for the stress an organism experiences in a variable environment (Denny 2017). </w:t>
      </w:r>
    </w:p>
    <w:p w14:paraId="5FEA24F1" w14:textId="38CDC642" w:rsidR="00916E04" w:rsidRDefault="00F76535" w:rsidP="00B67588">
      <w:pPr>
        <w:spacing w:after="140" w:line="264" w:lineRule="auto"/>
        <w:jc w:val="both"/>
        <w:rPr>
          <w:color w:val="000000"/>
        </w:rPr>
      </w:pPr>
      <w:r>
        <w:rPr>
          <w:color w:val="000000"/>
        </w:rPr>
        <w:t>R</w:t>
      </w:r>
      <w:r w:rsidR="00916E04" w:rsidRPr="00916E04">
        <w:rPr>
          <w:color w:val="000000"/>
        </w:rPr>
        <w:t>ealized survival under fluctuating conditions diverges from survival evaluated at the mean, a discrepancy known as Jensen's inequality (Denny 2017; Dowd et al. 2015). As marine ectotherms approach the high-temperature shoulder of the tolerance curve, thermal variance drives expected survival below the mean-based prediction, and the resulting gap is the Jensen penalty (Figure 1A). The distance between an organism's tolerance limit and the temperature it experiences is commonly formalized as a thermal safety margin</w:t>
      </w:r>
      <w:r w:rsidR="00020AE0">
        <w:rPr>
          <w:color w:val="000000"/>
        </w:rPr>
        <w:t xml:space="preserve"> </w:t>
      </w:r>
      <w:r w:rsidR="00916E04" w:rsidRPr="00916E04">
        <w:rPr>
          <w:color w:val="000000"/>
        </w:rPr>
        <w:t>(Deutsch et al. 2008). A margin built from static metrics, however, carries two distinct vulnerabilities. First, it ignores the Jensen penalty</w:t>
      </w:r>
      <w:r w:rsidR="00044318">
        <w:rPr>
          <w:color w:val="000000"/>
        </w:rPr>
        <w:t xml:space="preserve">. </w:t>
      </w:r>
      <w:r w:rsidR="00916E04" w:rsidRPr="00916E04">
        <w:rPr>
          <w:color w:val="000000"/>
        </w:rPr>
        <w:t xml:space="preserve">Second, it overlooks a latent stress load; in a variable environment, repeated sublethal exposures accumulate cellular damage and draw down physiological reserves, so the functional margin at any instant depends on recent thermal history and current physiological state rather than temperature alone (Sokolova 2013). In marine fishes, safety margins estimated from acute tolerance are overstated relative to those that account for the duration of exposure, understating vulnerability (Molina et al. 2025).</w:t>
      </w:r>
    </w:p>
    <w:p w14:paraId="27542DBD" w14:textId="2BB96E5E" w:rsidR="00916E04" w:rsidRDefault="004554D6" w:rsidP="003D4702">
      <w:pPr>
        <w:spacing w:after="140" w:line="264" w:lineRule="auto"/>
        <w:jc w:val="both"/>
        <w:rPr>
          <w:b/>
          <w:bCs/>
        </w:rPr>
      </w:pPr>
      <w:r>
        <w:rPr>
          <w:color w:val="000000"/>
        </w:rPr>
        <w:t>T</w:t>
      </w:r>
      <w:r w:rsidR="00C80471" w:rsidRPr="00C80471">
        <w:rPr>
          <w:color w:val="000000"/>
        </w:rPr>
        <w:t>he realized thermal safety margin can be addressed with a duration-dependent tolerance landscape, the thermal-death-time (TDT) model. Parameterized from constant-temperature survival assays, the model describes how the tolerated temperature falls with exposure time (Rezende et al. 2014). Extending the static landscape to a fluctuating regime rests on the assumption that heat injury accumulates additively across exposures above a critical temperature (Jørgensen et al. 2021; Ørsted et al. 2022), a premise validated in some ectotherms but not guaranteed where thermal history matters.</w:t>
      </w:r>
      <w:r w:rsidR="00C80471" w:rsidRPr="00C80471">
        <w:rPr>
          <w:color w:val="000000"/>
        </w:rPr>
        <w:t xml:space="preserve"> </w:t>
      </w:r>
      <w:r>
        <w:rPr>
          <w:color w:val="000000"/>
        </w:rPr>
        <w:t xml:space="preserve">That sensitivity to prior exposure originates in the cellular-stress response, whose regulation spans a single axis between two extremes. </w:t>
      </w:r>
      <w:r w:rsidR="00916E04" w:rsidRPr="00916E04">
        <w:rPr>
          <w:color w:val="000000"/>
        </w:rPr>
        <w:t xml:space="preserve">One strategy is to pay in advance: a frontloaded transcriptome maintains high constitutive expression of cellular-stress genes, conferring immediate protection but leaving little inducible headroom (Barshis et al. 2013). The opposite strategy is reactive: a low baseline with a large inducible reserve that is mobilized only when temperature rises. Under slow or moderate </w:t>
      </w:r>
      <w:r w:rsidR="00955099" w:rsidRPr="00916E04">
        <w:rPr>
          <w:color w:val="000000"/>
        </w:rPr>
        <w:t>fluctuation,</w:t>
      </w:r>
      <w:r w:rsidR="00916E04" w:rsidRPr="00916E04">
        <w:rPr>
          <w:color w:val="000000"/>
        </w:rPr>
        <w:t xml:space="preserve"> the two architectures can appear equivalent, but under a fast extreme the reactive strategy can lag (Figure 1B). </w:t>
      </w:r>
      <w:r w:rsidR="004A0B8A">
        <w:rPr>
          <w:color w:val="000000"/>
        </w:rPr>
        <w:t>Within this hypothesis</w:t>
      </w:r>
      <w:r w:rsidR="009D2D29">
        <w:rPr>
          <w:color w:val="000000"/>
        </w:rPr>
        <w:t>,</w:t>
      </w:r>
      <w:r w:rsidR="00916E04" w:rsidRPr="00916E04">
        <w:rPr>
          <w:color w:val="000000"/>
        </w:rPr>
        <w:t xml:space="preserve"> the realized safety margin is not a fixed property of a species but an emergent outcome of where its molecular strategy sits on this axis and how quickly its environment changes. </w:t>
      </w:r>
    </w:p>
    <w:p w14:paraId="6543B723" w14:textId="760134D1" w:rsidR="00F72D5A" w:rsidRPr="00B67588" w:rsidRDefault="00000000">
      <w:pPr>
        <w:pStyle w:val="Heading1"/>
      </w:pPr>
      <w:r w:rsidRPr="00B67588">
        <w:t>Aims and predictions</w:t>
      </w:r>
    </w:p>
    <w:p w14:paraId="0D2BD6D0" w14:textId="3CF13739" w:rsidR="00D07BA0" w:rsidRDefault="006E4790" w:rsidP="006E4790">
      <w:pPr>
        <w:spacing w:after="140" w:line="264" w:lineRule="auto"/>
        <w:jc w:val="both"/>
        <w:rPr>
          <w:color w:val="000000"/>
        </w:rPr>
      </w:pPr>
      <w:r w:rsidRPr="00B67588">
        <w:rPr>
          <w:color w:val="000000"/>
        </w:rPr>
        <w:t xml:space="preserve">The proposal seeks to determine how an organism’s underlying physiological and genomic architecture sets its realized thermal safety margin within a fluctuating environment, by addressing the following aims: </w:t>
      </w:r>
    </w:p>
    <w:p>
      <w:pPr>
        <w:spacing w:after="140" w:line="264" w:lineRule="auto"/>
        <w:jc w:val="both"/>
        <w:rPr>
          <w:color w:val="000000"/>
        </w:rPr>
      </w:pPr>
      <w:r>
        <w:rPr>
          <w:color w:val="000000"/>
        </w:rPr>
        <w:t xml:space="preserve">Three marine ectotherms were chosen to span a gradient in the variability and predictability of the thermal environment while holding the analytical framework constant: the Antarctic eelpout </w:t>
      </w:r>
      <w:r>
        <w:rPr>
          <w:i/>
          <w:iCs/>
          <w:color w:val="000000"/>
        </w:rPr>
        <w:t xml:space="preserve">Pachycara brachycephalum</w:t>
      </w:r>
      <w:r>
        <w:rPr>
          <w:color w:val="000000"/>
        </w:rPr>
        <w:t xml:space="preserve">, from the cold and thermally stable Southern Ocean; the temperate eelpout </w:t>
      </w:r>
      <w:r>
        <w:rPr>
          <w:i/>
          <w:iCs/>
          <w:color w:val="000000"/>
        </w:rPr>
        <w:t xml:space="preserve">Zoarces viviparus</w:t>
      </w:r>
      <w:r>
        <w:rPr>
          <w:color w:val="000000"/>
        </w:rPr>
        <w:t xml:space="preserve">, from a seasonally fluctuating coastal habitat; and the blue mussel </w:t>
      </w:r>
      <w:r>
        <w:rPr>
          <w:i/>
          <w:iCs/>
          <w:color w:val="000000"/>
        </w:rPr>
        <w:t xml:space="preserve">Mytilus edulis</w:t>
      </w:r>
      <w:r>
        <w:rPr>
          <w:color w:val="000000"/>
        </w:rPr>
        <w:t xml:space="preserve">, from the intertidal zone, where body temperature swings on a predictable tidal cycle. Two of the three are confamilial eelpouts (Zoarcidae), so any difference between the polar and temperate congener is attributable to their thermal environments rather than to deep phylogenetic divergence; the mussel then tests whether whatever pattern emerges in the fishes survives a change in body plan, a contrast the eelpout pair alone cannot license.</w:t>
      </w:r>
    </w:p>
    <w:p w14:paraId="39DE6E7C" w14:textId="473A611D" w:rsidR="000754A3" w:rsidRPr="000754A3" w:rsidRDefault="000754A3" w:rsidP="000754A3">
      <w:pPr>
        <w:spacing w:after="140" w:line="264" w:lineRule="auto"/>
        <w:jc w:val="both"/>
        <w:rPr>
          <w:color w:val="000000"/>
        </w:rPr>
      </w:pPr>
      <w:r w:rsidRPr="000754A3">
        <w:rPr>
          <w:b/>
          <w:bCs/>
          <w:color w:val="000000"/>
        </w:rPr>
        <w:lastRenderedPageBreak/>
        <w:t>Aim 1</w:t>
      </w:r>
      <w:r>
        <w:rPr>
          <w:color w:val="000000"/>
        </w:rPr>
        <w:t xml:space="preserve">: </w:t>
      </w:r>
      <w:r w:rsidRPr="000754A3">
        <w:rPr>
          <w:color w:val="000000"/>
        </w:rPr>
        <w:t>predictability (organism). How well does the constant-temperature tolerance landscape forecast realized survival under fluctuation, and what sets the error? Hypothesis: realized survival matches the additive, memoryless prediction only insofar as the organism lacks thermal memory, and the error scales with the size of the inducible reserve.</w:t>
      </w:r>
    </w:p>
    <w:p w14:paraId="25416D5B" w14:textId="627BD015" w:rsidR="000754A3" w:rsidRPr="000754A3" w:rsidRDefault="000754A3" w:rsidP="000754A3">
      <w:pPr>
        <w:spacing w:after="140" w:line="264" w:lineRule="auto"/>
        <w:jc w:val="both"/>
        <w:rPr>
          <w:color w:val="000000"/>
        </w:rPr>
      </w:pPr>
      <w:r w:rsidRPr="000754A3">
        <w:rPr>
          <w:b/>
          <w:bCs/>
          <w:color w:val="000000"/>
        </w:rPr>
        <w:t>Aim 2</w:t>
      </w:r>
      <w:r>
        <w:rPr>
          <w:b/>
          <w:bCs/>
          <w:color w:val="000000"/>
        </w:rPr>
        <w:t>:</w:t>
      </w:r>
      <w:r w:rsidRPr="000754A3">
        <w:rPr>
          <w:color w:val="000000"/>
        </w:rPr>
        <w:t xml:space="preserve"> mechanism (physiology). Is the survival limit oxygen- and capacity-limited, or set by protein stability and repair? Hypothesis: under OCLTT the survival limit coincides with the temperature of cardiac and ventilatory collapse and the margin tracks aerobic-scope reserve; if protein stability or repair sets it, survival fails at a temperature decoupled from the cardiac limit.</w:t>
      </w:r>
    </w:p>
    <w:p w14:paraId="049B33CD" w14:textId="05BE9DA4" w:rsidR="000754A3" w:rsidRDefault="000754A3" w:rsidP="000754A3">
      <w:pPr>
        <w:spacing w:after="140" w:line="264" w:lineRule="auto"/>
        <w:jc w:val="both"/>
        <w:rPr>
          <w:color w:val="000000"/>
        </w:rPr>
      </w:pPr>
      <w:r w:rsidRPr="000754A3">
        <w:rPr>
          <w:b/>
          <w:bCs/>
          <w:color w:val="000000"/>
        </w:rPr>
        <w:t>Aim</w:t>
      </w:r>
      <w:r>
        <w:rPr>
          <w:b/>
          <w:bCs/>
          <w:color w:val="000000"/>
        </w:rPr>
        <w:t xml:space="preserve"> </w:t>
      </w:r>
      <w:r w:rsidRPr="000754A3">
        <w:rPr>
          <w:b/>
          <w:bCs/>
          <w:color w:val="000000"/>
        </w:rPr>
        <w:t>3</w:t>
      </w:r>
      <w:r>
        <w:rPr>
          <w:color w:val="000000"/>
        </w:rPr>
        <w:t>:</w:t>
      </w:r>
      <w:r w:rsidRPr="000754A3">
        <w:rPr>
          <w:color w:val="000000"/>
        </w:rPr>
        <w:t xml:space="preserve"> architecture (genome). Does the realized margin map onto the constitutive-versus-inducible axis, and does that architecture track native thermal variability? Hypothesis: the phylogenetically controlled eelpout pair differs in architecture in proportion to their environmental variability, and the pattern either generalizes to the mussel or breaks at the body-plan boundary.</w:t>
      </w:r>
    </w:p>
    <w:p w14:paraId="192D433E" w14:textId="21B70082" w:rsidR="00F72D5A" w:rsidRPr="000754A3" w:rsidRDefault="00000000" w:rsidP="000754A3">
      <w:pPr>
        <w:spacing w:after="140" w:line="264" w:lineRule="auto"/>
        <w:jc w:val="both"/>
        <w:rPr>
          <w:b/>
          <w:bCs/>
          <w:color w:val="000000"/>
          <w:sz w:val="28"/>
          <w:szCs w:val="28"/>
        </w:rPr>
      </w:pPr>
      <w:r w:rsidRPr="000754A3">
        <w:rPr>
          <w:b/>
          <w:bCs/>
          <w:color w:val="000000"/>
          <w:sz w:val="28"/>
          <w:szCs w:val="28"/>
        </w:rPr>
        <w:t>Methods</w:t>
      </w:r>
    </w:p>
    <w:p w14:paraId="78795466" w14:textId="77777777" w:rsidR="00F72D5A" w:rsidRPr="00B67588" w:rsidRDefault="00000000">
      <w:pPr>
        <w:pStyle w:val="Heading2"/>
      </w:pPr>
      <w:r w:rsidRPr="00B67588">
        <w:t>Study system</w:t>
      </w:r>
    </w:p>
    <w:p w14:paraId="61A7B3B4" w14:textId="77777777" w:rsidR="00F72D5A" w:rsidRPr="00B67588" w:rsidRDefault="00000000">
      <w:pPr>
        <w:spacing w:after="140" w:line="264" w:lineRule="auto"/>
        <w:jc w:val="both"/>
        <w:rPr>
          <w:color w:val="000000"/>
        </w:rPr>
      </w:pPr>
      <w:r w:rsidRPr="00B67588">
        <w:rPr>
          <w:color w:val="000000"/>
        </w:rPr>
        <w:t xml:space="preserve">The three taxa and their roles are summarized in Table 1. The host group has a demonstrated track record with both eelpouts, having held the Antarctic eelpout at controlled temperatures up to 9 °C for two months and profiled the transcriptomes and metabolic enzymes of both species (Lannig et al. 2005; Windisch et al. 2012, 2014), and </w:t>
      </w:r>
      <w:r w:rsidRPr="00B67588">
        <w:rPr>
          <w:i/>
          <w:iCs/>
          <w:color w:val="000000"/>
        </w:rPr>
        <w:t>Mytilus edulis</w:t>
      </w:r>
      <w:r w:rsidRPr="00B67588">
        <w:rPr>
          <w:color w:val="000000"/>
        </w:rPr>
        <w:t xml:space="preserve"> is available locally, so the analytical pipeline has precedent on every taxon. Two contingencies are handled separately in the timeline. The intertidal mussel is the designated scope valve for time and effort: dropping it forfeits the cross-body-plan generalization but preserves the phylogenetically controlled eelpout core. The Antarctic eelpout is the principal supply contingency, since fresh animals depend on expedition schedules; should they prove unavailable, the design falls back to the temperate-eelpout-versus-mussel contrast, which retains the variability and predictability axes while forgoing the polar endpoint and the within-family control. Confirming Antarctic-eelpout availability with the host is a pre-submission priority.</w:t>
      </w:r>
    </w:p>
    <w:p w14:paraId="79A5FAE5" w14:textId="77777777" w:rsidR="00F72D5A" w:rsidRPr="00B67588" w:rsidRDefault="00000000">
      <w:pPr>
        <w:keepNext/>
        <w:spacing w:before="60" w:after="60"/>
        <w:rPr>
          <w:color w:val="000000"/>
        </w:rPr>
      </w:pPr>
      <w:r w:rsidRPr="00B67588">
        <w:rPr>
          <w:b/>
          <w:bCs/>
          <w:color w:val="000000"/>
        </w:rPr>
        <w:t xml:space="preserve">Table 1. </w:t>
      </w:r>
      <w:r w:rsidRPr="00B67588">
        <w:rPr>
          <w:color w:val="000000"/>
          <w:sz w:val="20"/>
          <w:szCs w:val="20"/>
        </w:rPr>
        <w:t>Study taxa, their native thermal regimes, and their roles in the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2560"/>
        <w:gridCol w:w="3100"/>
      </w:tblGrid>
      <w:tr w:rsidR="00F72D5A" w:rsidRPr="00B67588" w14:paraId="62E18A4A" w14:textId="77777777">
        <w:trPr>
          <w:cantSplit/>
          <w:tblHeader/>
        </w:trPr>
        <w:tc>
          <w:tcPr>
            <w:tcW w:w="17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6F9722B7" w14:textId="77777777" w:rsidR="00F72D5A" w:rsidRPr="00B67588" w:rsidRDefault="00000000">
            <w:pPr>
              <w:spacing w:after="20"/>
              <w:rPr>
                <w:color w:val="000000"/>
              </w:rPr>
            </w:pPr>
            <w:r>
              <w:rPr>
                <w:b/>
                <w:bCs/>
                <w:color w:val="000000"/>
                <w:sz w:val="19"/>
                <w:szCs w:val="19"/>
              </w:rPr>
              <w:t xml:space="preserve">Species</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141BCCAE" w14:textId="77777777" w:rsidR="00F72D5A" w:rsidRPr="00B67588" w:rsidRDefault="00000000">
            <w:pPr>
              <w:spacing w:after="20"/>
              <w:rPr>
                <w:color w:val="000000"/>
              </w:rPr>
            </w:pPr>
            <w:r>
              <w:rPr>
                <w:b/>
                <w:bCs/>
                <w:color w:val="000000"/>
                <w:sz w:val="19"/>
                <w:szCs w:val="19"/>
              </w:rPr>
              <w:t xml:space="preserve">Lineage and habitat</w:t>
            </w:r>
          </w:p>
        </w:tc>
        <w:tc>
          <w:tcPr>
            <w:tcW w:w="2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0987EEFB" w14:textId="77777777" w:rsidR="00F72D5A" w:rsidRPr="00B67588" w:rsidRDefault="00000000">
            <w:pPr>
              <w:spacing w:after="20"/>
              <w:rPr>
                <w:color w:val="000000"/>
              </w:rPr>
            </w:pPr>
            <w:r>
              <w:rPr>
                <w:b/>
                <w:bCs/>
                <w:color w:val="000000"/>
                <w:sz w:val="19"/>
                <w:szCs w:val="19"/>
              </w:rPr>
              <w:t xml:space="preserve">Native thermal regime</w:t>
            </w:r>
          </w:p>
        </w:tc>
        <w:tc>
          <w:tcPr>
            <w:tcW w:w="31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5A4D4F21" w14:textId="77777777" w:rsidR="00F72D5A" w:rsidRPr="00B67588" w:rsidRDefault="00000000">
            <w:pPr>
              <w:spacing w:after="20"/>
              <w:rPr>
                <w:color w:val="000000"/>
              </w:rPr>
            </w:pPr>
            <w:r>
              <w:rPr>
                <w:b/>
                <w:bCs/>
                <w:color w:val="000000"/>
                <w:sz w:val="19"/>
                <w:szCs w:val="19"/>
              </w:rPr>
              <w:t xml:space="preserve">Role in design</w:t>
            </w:r>
          </w:p>
        </w:tc>
      </w:tr>
      <w:tr w:rsidR="00F72D5A" w:rsidRPr="00B67588" w14:paraId="0DA690DE" w14:textId="77777777">
        <w:trPr>
          <w:cantSplit/>
        </w:trPr>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18328E8" w14:textId="77777777" w:rsidR="00F72D5A" w:rsidRPr="00B67588" w:rsidRDefault="00000000">
            <w:pPr>
              <w:spacing w:after="20"/>
              <w:rPr>
                <w:color w:val="000000"/>
              </w:rPr>
            </w:pPr>
            <w:r>
              <w:rPr>
                <w:color w:val="000000"/>
                <w:sz w:val="19"/>
                <w:szCs w:val="19"/>
              </w:rPr>
              <w:t xml:space="preserve">Antarctic eelpout (</w:t>
            </w:r>
            <w:r>
              <w:rPr>
                <w:i/>
                <w:iCs/>
                <w:color w:val="000000"/>
                <w:sz w:val="19"/>
                <w:szCs w:val="19"/>
              </w:rPr>
              <w:t xml:space="preserve">Pachycara brachycephalum</w:t>
            </w:r>
            <w:r>
              <w:rPr>
                <w:color w:val="000000"/>
                <w:sz w:val="19"/>
                <w:szCs w:val="19"/>
              </w:rPr>
              <w:t xml:space="preserv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FC4EE9A" w14:textId="77777777" w:rsidR="00F72D5A" w:rsidRPr="00B67588" w:rsidRDefault="00000000">
            <w:pPr>
              <w:spacing w:after="20"/>
              <w:rPr>
                <w:color w:val="000000"/>
              </w:rPr>
            </w:pPr>
            <w:r>
              <w:rPr>
                <w:color w:val="000000"/>
                <w:sz w:val="19"/>
                <w:szCs w:val="19"/>
              </w:rPr>
              <w:t xml:space="preserve">Teleost, Zoarcidae; stable polar water, near-constant ~0 °C</w:t>
            </w:r>
          </w:p>
        </w:tc>
        <w:tc>
          <w:tcPr>
            <w:tcW w:w="2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10244C3" w14:textId="77777777" w:rsidR="00F72D5A" w:rsidRPr="00B67588" w:rsidRDefault="00000000">
            <w:pPr>
              <w:spacing w:after="20"/>
              <w:rPr>
                <w:color w:val="000000"/>
              </w:rPr>
            </w:pPr>
            <w:r>
              <w:rPr>
                <w:color w:val="000000"/>
                <w:sz w:val="19"/>
                <w:szCs w:val="19"/>
              </w:rPr>
              <w:t xml:space="preserve">Low variability, highly predictable</w:t>
            </w:r>
          </w:p>
        </w:tc>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0314811" w14:textId="77777777" w:rsidR="00F72D5A" w:rsidRPr="00B67588" w:rsidRDefault="00000000">
            <w:pPr>
              <w:spacing w:after="20"/>
              <w:rPr>
                <w:color w:val="000000"/>
              </w:rPr>
            </w:pPr>
            <w:r>
              <w:rPr>
                <w:color w:val="000000"/>
                <w:sz w:val="19"/>
                <w:szCs w:val="19"/>
              </w:rPr>
              <w:t xml:space="preserve">Low-variability endpoint; phylogenetic control against </w:t>
            </w:r>
            <w:r>
              <w:rPr>
                <w:i/>
                <w:iCs/>
                <w:color w:val="000000"/>
                <w:sz w:val="19"/>
                <w:szCs w:val="19"/>
              </w:rPr>
              <w:t xml:space="preserve">Zoarces</w:t>
            </w:r>
            <w:r>
              <w:rPr>
                <w:color w:val="000000"/>
                <w:sz w:val="19"/>
                <w:szCs w:val="19"/>
              </w:rPr>
              <w:t xml:space="preserve">; closest agreement between predicted and realized survival</w:t>
            </w:r>
          </w:p>
        </w:tc>
      </w:tr>
      <w:tr w:rsidR="00F72D5A" w:rsidRPr="00B67588" w14:paraId="6E326028" w14:textId="77777777">
        <w:trPr>
          <w:cantSplit/>
        </w:trPr>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A103C36" w14:textId="77777777" w:rsidR="00F72D5A" w:rsidRPr="00B67588" w:rsidRDefault="00000000">
            <w:pPr>
              <w:spacing w:after="20"/>
              <w:rPr>
                <w:color w:val="000000"/>
              </w:rPr>
            </w:pPr>
            <w:r>
              <w:rPr>
                <w:color w:val="000000"/>
                <w:sz w:val="19"/>
                <w:szCs w:val="19"/>
              </w:rPr>
              <w:t xml:space="preserve">Temperate eelpout (</w:t>
            </w:r>
            <w:r>
              <w:rPr>
                <w:i/>
                <w:iCs/>
                <w:color w:val="000000"/>
                <w:sz w:val="19"/>
                <w:szCs w:val="19"/>
              </w:rPr>
              <w:t xml:space="preserve">Zoarces viviparus</w:t>
            </w:r>
            <w:r>
              <w:rPr>
                <w:color w:val="000000"/>
                <w:sz w:val="19"/>
                <w:szCs w:val="19"/>
              </w:rPr>
              <w:t xml:space="preserv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E2B9DB" w14:textId="77777777" w:rsidR="00F72D5A" w:rsidRPr="00B67588" w:rsidRDefault="00000000">
            <w:pPr>
              <w:spacing w:after="20"/>
              <w:rPr>
                <w:color w:val="000000"/>
              </w:rPr>
            </w:pPr>
            <w:r>
              <w:rPr>
                <w:color w:val="000000"/>
                <w:sz w:val="19"/>
                <w:szCs w:val="19"/>
              </w:rPr>
              <w:t xml:space="preserve">Teleost, Zoarcidae; variable North Sea and Wadden Sea</w:t>
            </w:r>
          </w:p>
        </w:tc>
        <w:tc>
          <w:tcPr>
            <w:tcW w:w="2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4010961" w14:textId="77777777" w:rsidR="00F72D5A" w:rsidRPr="00B67588" w:rsidRDefault="00000000">
            <w:pPr>
              <w:spacing w:after="20"/>
              <w:rPr>
                <w:color w:val="000000"/>
              </w:rPr>
            </w:pPr>
            <w:r>
              <w:rPr>
                <w:color w:val="000000"/>
                <w:sz w:val="19"/>
                <w:szCs w:val="19"/>
              </w:rPr>
              <w:t xml:space="preserve">Moderate variability; seasonal fluctuation</w:t>
            </w:r>
          </w:p>
        </w:tc>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AC40CF9" w14:textId="77777777" w:rsidR="00F72D5A" w:rsidRPr="00B67588" w:rsidRDefault="00000000">
            <w:pPr>
              <w:spacing w:after="20"/>
              <w:rPr>
                <w:color w:val="000000"/>
              </w:rPr>
            </w:pPr>
            <w:r>
              <w:rPr>
                <w:color w:val="000000"/>
                <w:sz w:val="19"/>
                <w:szCs w:val="19"/>
              </w:rPr>
              <w:t xml:space="preserve">OCLTT reference system (Pörtner &amp; Knust 2007); phylogenetic control against </w:t>
            </w:r>
            <w:r>
              <w:rPr>
                <w:i/>
                <w:iCs/>
                <w:color w:val="000000"/>
                <w:sz w:val="19"/>
                <w:szCs w:val="19"/>
              </w:rPr>
              <w:t xml:space="preserve">Pachycara</w:t>
            </w:r>
          </w:p>
        </w:tc>
      </w:tr>
      <w:tr w:rsidR="00F72D5A" w:rsidRPr="00B67588" w14:paraId="1FBAAE6C" w14:textId="77777777">
        <w:trPr>
          <w:cantSplit/>
        </w:trPr>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D9FC51C" w14:textId="77777777" w:rsidR="00F72D5A" w:rsidRPr="00B67588" w:rsidRDefault="00000000">
            <w:pPr>
              <w:spacing w:after="20"/>
              <w:rPr>
                <w:color w:val="000000"/>
              </w:rPr>
            </w:pPr>
            <w:r>
              <w:rPr>
                <w:color w:val="000000"/>
                <w:sz w:val="19"/>
                <w:szCs w:val="19"/>
              </w:rPr>
              <w:t xml:space="preserve">Blue mussel (</w:t>
            </w:r>
            <w:r>
              <w:rPr>
                <w:i/>
                <w:iCs/>
                <w:color w:val="000000"/>
                <w:sz w:val="19"/>
                <w:szCs w:val="19"/>
              </w:rPr>
              <w:t xml:space="preserve">Mytilus edulis</w:t>
            </w:r>
            <w:r>
              <w:rPr>
                <w:color w:val="000000"/>
                <w:sz w:val="19"/>
                <w:szCs w:val="19"/>
              </w:rPr>
              <w:t xml:space="preserv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5599047" w14:textId="77777777" w:rsidR="00F72D5A" w:rsidRPr="00B67588" w:rsidRDefault="00000000">
            <w:pPr>
              <w:spacing w:after="20"/>
              <w:rPr>
                <w:color w:val="000000"/>
              </w:rPr>
            </w:pPr>
            <w:r>
              <w:rPr>
                <w:color w:val="000000"/>
                <w:sz w:val="19"/>
                <w:szCs w:val="19"/>
              </w:rPr>
              <w:t xml:space="preserve">Bivalve mollusc; intertidal, aerial exposure</w:t>
            </w:r>
          </w:p>
        </w:tc>
        <w:tc>
          <w:tcPr>
            <w:tcW w:w="2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00A3C0" w14:textId="77777777" w:rsidR="00F72D5A" w:rsidRPr="00B67588" w:rsidRDefault="00000000">
            <w:pPr>
              <w:spacing w:after="20"/>
              <w:rPr>
                <w:color w:val="000000"/>
              </w:rPr>
            </w:pPr>
            <w:r>
              <w:rPr>
                <w:color w:val="000000"/>
                <w:sz w:val="19"/>
                <w:szCs w:val="19"/>
              </w:rPr>
              <w:t xml:space="preserve">High variability but tidally predictable</w:t>
            </w:r>
          </w:p>
        </w:tc>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0636231" w14:textId="77777777" w:rsidR="00F72D5A" w:rsidRPr="00B67588" w:rsidRDefault="00000000">
            <w:pPr>
              <w:spacing w:after="20"/>
              <w:rPr>
                <w:color w:val="000000"/>
              </w:rPr>
            </w:pPr>
            <w:r>
              <w:rPr>
                <w:color w:val="000000"/>
                <w:sz w:val="19"/>
                <w:szCs w:val="19"/>
              </w:rPr>
              <w:t xml:space="preserve">High-variability, cross-body-plan endpoint; designated scope valve</w:t>
            </w:r>
          </w:p>
        </w:tc>
      </w:tr>
    </w:tbl>
    <w:p w14:paraId="57C216B0" w14:textId="77777777" w:rsidR="00F72D5A" w:rsidRPr="00B67588" w:rsidRDefault="00F72D5A">
      <w:pPr>
        <w:spacing w:before="80" w:after="140"/>
        <w:rPr>
          <w:color w:val="000000"/>
        </w:rPr>
      </w:pPr>
    </w:p>
    <w:p w14:paraId="4BED3348" w14:textId="77777777" w:rsidR="00F72D5A" w:rsidRPr="00B67588" w:rsidRDefault="00000000">
      <w:pPr>
        <w:pStyle w:val="Heading2"/>
      </w:pPr>
      <w:r w:rsidRPr="00B67588">
        <w:t>Facilities and team</w:t>
      </w:r>
    </w:p>
    <w:p w14:paraId="65D526B9" w14:textId="77777777" w:rsidR="00F72D5A" w:rsidRPr="00B67588" w:rsidRDefault="00000000">
      <w:pPr>
        <w:spacing w:after="140" w:line="264" w:lineRule="auto"/>
        <w:jc w:val="both"/>
        <w:rPr>
          <w:color w:val="000000"/>
        </w:rPr>
      </w:pPr>
      <w:r w:rsidRPr="00B67588">
        <w:rPr>
          <w:color w:val="000000"/>
        </w:rPr>
        <w:t>The Bremerhaven facilities provide an unusually complete pipeline for this question, and the work is distributed across the host group rather than resting on a single instrument or person. Felix Mark’s laboratory provides controlled-aquaria systems and respirometry for aerobic-scope measurement. Christian Bock’s in vivo NMR facility provides non-invasive readout of cardiac function, ventilation, and energy status, including phosphocreatine and intracellular pH by 31P spectroscopy; this is the measurement that allows the cardiac and ventilatory limit to be located directly and compared with the survival limit (Mark, Bock &amp; Pörtner 2002; Sartoris et al. 2003). Gisela Lannig and Magnus Lucassen provide mitochondrial and metabolic assays. Lars Harms provides the genomics and bioinformatics pipeline. The host group’s established experience with these species, including transcriptomic and metabolic profiling of both eelpouts and in vivo NMR on the Antarctic eelpout (Lannig et al. 2005; Windisch et al. 2012, 2014), reduces the methodological risk on the most demanding taxon. Paolo Domenici (CNR) advises on the design and analysis of sublethal performance, the domain in which functional failure is expected to precede lethal failure; should scope allow, a locomotor-performance endpoint in the eelpouts would add an explicit second tier to the realized-margin measurement, distinguishing the temperature at which the animal can no longer perform from the temperature at which it dies.</w:t>
      </w:r>
    </w:p>
    <w:p w14:paraId="3D3B71AE" w14:textId="77777777" w:rsidR="00F72D5A" w:rsidRPr="00B67588" w:rsidRDefault="00000000">
      <w:pPr>
        <w:pStyle w:val="Heading2"/>
      </w:pPr>
      <w:r w:rsidRPr="00B67588">
        <w:t>Aim 1: predictability (organism)</w:t>
      </w:r>
    </w:p>
    <w:p w14:paraId="2C84FE53" w14:textId="77777777" w:rsidR="00F72D5A" w:rsidRPr="00B67588" w:rsidRDefault="00000000">
      <w:pPr>
        <w:spacing w:after="140" w:line="264" w:lineRule="auto"/>
        <w:jc w:val="both"/>
        <w:rPr>
          <w:color w:val="000000"/>
        </w:rPr>
      </w:pPr>
      <w:r w:rsidRPr="00B67588">
        <w:rPr>
          <w:color w:val="000000"/>
        </w:rPr>
        <w:t xml:space="preserve">Aim 1 is addressed in two stages. First, full thermal performance curves are constructed under constant temperatures, for survival and for sublethal performance, yielding the nominal optimum, the critical thermal maximum, the thermal breadth, and the slope of the super-optimal decline. Second, the same endpoints are measured under ecologically realistic fluctuating and heatwave regimes to give realized survival, which is then compared against the survival predicted by integrating the duration-dependent tolerance landscape, the thermal-death-time model fitted from time-to-failure across several static temperatures (Rezende et al. 2014; Jørgensen et al. 2021), over those same regimes under the additive-injury assumption. In the mussel, where cardiorespiratory physiology is not commensurable with the aerobic-scope axis, the approach to the lethal limit is instead tracked non-invasively and continuously through each regime by infrared photoplethysmography of the heartbeat (Burnett et al. 2013), providing a sublethal cardiac readout for the realized-survival comparison rather than a test of oxygen limitation.</w:t>
      </w:r>
    </w:p>
    <w:p w14:paraId="051D6F07" w14:textId="77777777" w:rsidR="00F72D5A" w:rsidRPr="00B67588" w:rsidRDefault="00000000">
      <w:pPr>
        <w:pStyle w:val="Heading2"/>
      </w:pPr>
      <w:r w:rsidRPr="00B67588">
        <w:t>Aim 2: mechanism (physiology)</w:t>
      </w:r>
    </w:p>
    <w:p>
      <w:pPr>
        <w:spacing w:after="140" w:line="264" w:lineRule="auto"/>
        <w:jc w:val="both"/>
        <w:rPr>
          <w:color w:val="000000"/>
        </w:rPr>
      </w:pPr>
      <w:r>
        <w:rPr>
          <w:color w:val="000000"/>
        </w:rPr>
        <w:t xml:space="preserve">In the eelpouts, aerobic scope is measured by respirometry, and the cardiac limit is located two ways, by in vivo NMR and by the Arrhenius breakpoint temperature of cardiac performance, to test whether either coincides with the survival limit as OCLTT predicts.</w:t>
      </w:r>
    </w:p>
    <w:p w14:paraId="55390DD9" w14:textId="77777777" w:rsidR="00F72D5A" w:rsidRPr="00B67588" w:rsidRDefault="00000000">
      <w:pPr>
        <w:spacing w:after="140" w:line="264" w:lineRule="auto"/>
        <w:jc w:val="both"/>
        <w:rPr>
          <w:color w:val="000000"/>
        </w:rPr>
      </w:pPr>
      <w:r w:rsidRPr="00B67588">
        <w:rPr>
          <w:color w:val="000000"/>
        </w:rPr>
        <w:t xml:space="preserve">Sublethal mechanism is probed with a panel of metabolic markers that index the energetic state and the onset of failure. The working panel comprises aerobic capacity (citrate synthase and cytochrome c oxidase activities), the cost of ion regulation (Na+/K+-ATPase activity), anaerobic capacity and end-products to mark the transition to anaerobic metabolism (for example L-lactate </w:t>
      </w:r>
      <w:r w:rsidRPr="00B67588">
        <w:rPr>
          <w:color w:val="000000"/>
        </w:rPr>
        <w:lastRenderedPageBreak/>
        <w:t>and succinate), and protein turnover as an index of repair load. Each marker is tied to a specific prediction: aerobic capacity and the anaerobic transition test the oxygen-limitation account, while protein turnover indexes the repair-capacity alternative. These assays follow protocols I have applied to this question in oysters (George et al. 2023) and that the host group has applied to both eelpouts (Lannig et al. 2005).</w:t>
      </w:r>
    </w:p>
    <w:p w14:paraId="08D5216A" w14:textId="77777777" w:rsidR="00F72D5A" w:rsidRPr="00B67588" w:rsidRDefault="00000000">
      <w:pPr>
        <w:pStyle w:val="Heading2"/>
      </w:pPr>
      <w:r w:rsidRPr="00B67588">
        <w:t>Aim 3: architecture (genome)</w:t>
      </w:r>
    </w:p>
    <w:p w14:paraId="736FA257" w14:textId="77777777" w:rsidR="00F72D5A" w:rsidRPr="00B67588" w:rsidRDefault="00000000">
      <w:pPr>
        <w:spacing w:after="140" w:line="264" w:lineRule="auto"/>
        <w:jc w:val="both"/>
        <w:rPr>
          <w:color w:val="000000"/>
        </w:rPr>
      </w:pPr>
      <w:r w:rsidRPr="00B67588">
        <w:rPr>
          <w:color w:val="000000"/>
        </w:rPr>
        <w:t>The genomic program uses Tag-Seq across the constant and fluctuating regimes, the survival-plus-transcriptome approach I established in oysters (George et al. 2023). Weighted gene co-expression network analysis isolates modules whose expression tracks the safety margin across temperature and across taxa, a network approach I have applied to co-expression analysis in non-model species (George et al., in preparation). Frontloading is quantified explicitly, following the operational definition of Barshis et al. (2013): within the cellular-stress regulon, a frontloaded profile is one in which constitutive (control) expression is elevated while the stress-induced fold-change is correspondingly reduced, relative to the reactive taxon. The decisive genomic test asks whether the fluctuating-regime transcriptome equals the predicted superposition of the constant-temperature responses, modeled as the residence-time-weighted combination of the constant-temperature expression states, or instead departs from that prediction with emergent, cumulative-damage signatures, for example sustained induction of repair and proteostasis pathways that no single constant temperature elicits. That transcriptome-level test is the molecular analogue of the organism-level question of whether realized survival equals the nonlinear average of the constant-temperature curve.</w:t>
      </w:r>
    </w:p>
    <w:p w14:paraId="1CB3E4B6" w14:textId="77777777" w:rsidR="00F72D5A" w:rsidRPr="00B67588" w:rsidRDefault="00000000">
      <w:pPr>
        <w:pStyle w:val="Heading1"/>
      </w:pPr>
      <w:r w:rsidRPr="00B67588">
        <w:t>Timeline (18 months)</w:t>
      </w:r>
    </w:p>
    <w:p w14:paraId="3C59CC65" w14:textId="77777777" w:rsidR="00F72D5A" w:rsidRPr="00B67588" w:rsidRDefault="00000000">
      <w:pPr>
        <w:spacing w:after="140" w:line="264" w:lineRule="auto"/>
        <w:jc w:val="both"/>
        <w:rPr>
          <w:color w:val="000000"/>
        </w:rPr>
      </w:pPr>
      <w:r w:rsidRPr="00B67588">
        <w:rPr>
          <w:color w:val="000000"/>
        </w:rPr>
        <w:t>Months 1 to 3: acclimation, husbandry, and constant-temperature performance curves for the two most tractable taxa. Months 4 to 9: fluctuating-regime survival trials together with in vivo NMR and respirometry. Months 6 to 14: sequencing and bioinformatics, run in parallel. Months 12 to 18: the predictability analysis and write-up. The third taxon is the explicit scope valve, to be dropped if husbandry or sequencing slips.</w:t>
      </w:r>
    </w:p>
    <w:p w14:paraId="5C0313F5" w14:textId="77777777" w:rsidR="00F72D5A" w:rsidRPr="00B67588" w:rsidRDefault="00000000">
      <w:pPr>
        <w:pStyle w:val="Heading1"/>
      </w:pPr>
      <w:r w:rsidRPr="00B67588">
        <w:t>Fit statement (for the host statement and cover note)</w:t>
      </w:r>
    </w:p>
    <w:p w14:paraId="7D2192F7" w14:textId="77777777" w:rsidR="00F72D5A" w:rsidRPr="00B67588" w:rsidRDefault="00000000">
      <w:pPr>
        <w:spacing w:after="140" w:line="264" w:lineRule="auto"/>
        <w:jc w:val="both"/>
        <w:rPr>
          <w:color w:val="000000"/>
        </w:rPr>
      </w:pPr>
      <w:r w:rsidRPr="00B67588">
        <w:rPr>
          <w:i/>
          <w:iCs/>
          <w:color w:val="000000"/>
        </w:rPr>
        <w:t xml:space="preserve">The project unites my functional-genomic approach to physiological performance with the Mark group’s oxygen-limitation framework and AWI’s unique in vivo NMR capability, to determine whether the survival safety margin against extreme events is oxygen-set and whether it can be predicted from constant-temperature data. It opens an independent research line in whole-organism thermal physiology that the Bremerhaven facilities are singularly equipped to enable.</w:t>
      </w:r>
    </w:p>
    <w:p w14:paraId="0C0FFC54" w14:textId="77777777" w:rsidR="00F72D5A" w:rsidRPr="00B67588" w:rsidRDefault="00000000">
      <w:pPr>
        <w:pStyle w:val="Heading1"/>
      </w:pPr>
      <w:r w:rsidRPr="00B67588">
        <w:t>References</w:t>
      </w:r>
    </w:p>
    <w:p w14:paraId="5C4FD9E3" w14:textId="77777777" w:rsidR="00F72D5A" w:rsidRPr="00B67588" w:rsidRDefault="00000000">
      <w:pPr>
        <w:spacing w:after="80" w:line="252" w:lineRule="auto"/>
        <w:ind w:left="360" w:hanging="360"/>
        <w:rPr>
          <w:color w:val="000000"/>
        </w:rPr>
      </w:pPr>
      <w:r w:rsidRPr="00B67588">
        <w:rPr>
          <w:color w:val="000000"/>
        </w:rPr>
        <w:t xml:space="preserve">Barshis, D. J., Ladner, J. T., Oliver, T. A., Seneca, F. O., Traylor-Knowles, N., &amp; Palumbi, S. R. (2013). Genomic basis for coral resilience to climate change. </w:t>
      </w:r>
      <w:r w:rsidRPr="00B67588">
        <w:rPr>
          <w:i/>
          <w:iCs/>
          <w:color w:val="000000"/>
        </w:rPr>
        <w:t>PNAS</w:t>
      </w:r>
      <w:r w:rsidRPr="00B67588">
        <w:rPr>
          <w:color w:val="000000"/>
        </w:rPr>
        <w:t xml:space="preserve"> 110, 1387-1392.</w:t>
      </w:r>
    </w:p>
    <w:p w14:paraId="7E66BC38" w14:textId="77777777" w:rsidR="00F72D5A" w:rsidRPr="00B67588" w:rsidRDefault="00000000">
      <w:pPr>
        <w:spacing w:after="80" w:line="252" w:lineRule="auto"/>
        <w:ind w:left="360" w:hanging="360"/>
        <w:rPr>
          <w:color w:val="000000"/>
        </w:rPr>
      </w:pPr>
      <w:r w:rsidRPr="00B67588">
        <w:rPr>
          <w:color w:val="000000"/>
        </w:rPr>
        <w:t xml:space="preserve">Bernhardt, J. R., Sunday, J. M., Thompson, P. L., &amp; O’Connor, M. I. (2018). Nonlinear averaging of thermal experience predicts population growth rates in a thermally variable environment. </w:t>
      </w:r>
      <w:r w:rsidRPr="00B67588">
        <w:rPr>
          <w:i/>
          <w:iCs/>
          <w:color w:val="000000"/>
        </w:rPr>
        <w:t>Proceedings of the Royal Society B</w:t>
      </w:r>
      <w:r w:rsidRPr="00B67588">
        <w:rPr>
          <w:color w:val="000000"/>
        </w:rPr>
        <w:t xml:space="preserve"> 285, 20181076.</w:t>
      </w:r>
    </w:p>
    <w:p w14:paraId="464F999E" w14:textId="77777777" w:rsidR="00F72D5A" w:rsidRPr="00B67588" w:rsidRDefault="00000000">
      <w:pPr>
        <w:spacing w:after="80" w:line="252" w:lineRule="auto"/>
        <w:ind w:left="360" w:hanging="360"/>
        <w:rPr>
          <w:color w:val="000000"/>
        </w:rPr>
      </w:pPr>
      <w:r w:rsidRPr="00B67588">
        <w:rPr>
          <w:color w:val="000000"/>
        </w:rPr>
        <w:lastRenderedPageBreak/>
        <w:t xml:space="preserve">Buckley, B. A., Owen, M.-E., &amp; Hofmann, G. E. (2001). Adjusting the thermostat: the threshold induction temperature for the heat-shock response in intertidal mussels (genus </w:t>
      </w:r>
      <w:r w:rsidRPr="00B67588">
        <w:rPr>
          <w:i/>
          <w:iCs/>
          <w:color w:val="000000"/>
        </w:rPr>
        <w:t>Mytilus</w:t>
      </w:r>
      <w:r w:rsidRPr="00B67588">
        <w:rPr>
          <w:color w:val="000000"/>
        </w:rPr>
        <w:t xml:space="preserve">) changes as a function of thermal history. </w:t>
      </w:r>
      <w:r w:rsidRPr="00B67588">
        <w:rPr>
          <w:i/>
          <w:iCs/>
          <w:color w:val="000000"/>
        </w:rPr>
        <w:t>Journal of Experimental Biology</w:t>
      </w:r>
      <w:r w:rsidRPr="00B67588">
        <w:rPr>
          <w:color w:val="000000"/>
        </w:rPr>
        <w:t xml:space="preserve"> 204, 3571-3579.</w:t>
      </w:r>
    </w:p>
    <w:p>
      <w:pPr>
        <w:spacing w:after="80" w:line="252" w:lineRule="auto"/>
        <w:ind w:left="360" w:hanging="360"/>
        <w:rPr>
          <w:color w:val="000000"/>
        </w:rPr>
      </w:pPr>
      <w:r>
        <w:rPr>
          <w:color w:val="000000"/>
        </w:rPr>
        <w:t xml:space="preserve">Burnett, N. P., Seabra, R., de Pirro, M., Wethey, D. S., Woodin, S. A., Helmuth, B., &amp; Lima, F. P. (2013). An improved noninvasive method for measuring heartbeat of intertidal animals. </w:t>
      </w:r>
      <w:r>
        <w:rPr>
          <w:i/>
          <w:iCs/>
          <w:color w:val="000000"/>
        </w:rPr>
        <w:t xml:space="preserve">Limnology and Oceanography: Methods</w:t>
      </w:r>
      <w:r>
        <w:rPr>
          <w:color w:val="000000"/>
        </w:rPr>
        <w:t xml:space="preserve"> 11, 91-100.</w:t>
      </w:r>
    </w:p>
    <w:p w14:paraId="76C5242D" w14:textId="77777777" w:rsidR="00F72D5A" w:rsidRPr="00B67588" w:rsidRDefault="00000000">
      <w:pPr>
        <w:spacing w:after="80" w:line="252" w:lineRule="auto"/>
        <w:ind w:left="360" w:hanging="360"/>
        <w:rPr>
          <w:color w:val="000000"/>
        </w:rPr>
      </w:pPr>
      <w:r w:rsidRPr="00B67588">
        <w:rPr>
          <w:color w:val="000000"/>
        </w:rPr>
        <w:t xml:space="preserve">Denny, M. (2017). The fallacy of the average: on the ubiquity, utility and continuing novelty of Jensen’s inequality. </w:t>
      </w:r>
      <w:r w:rsidRPr="00B67588">
        <w:rPr>
          <w:i/>
          <w:iCs/>
          <w:color w:val="000000"/>
        </w:rPr>
        <w:t>Journal of Experimental Biology</w:t>
      </w:r>
      <w:r w:rsidRPr="00B67588">
        <w:rPr>
          <w:color w:val="000000"/>
        </w:rPr>
        <w:t xml:space="preserve"> 220, 139-146.</w:t>
      </w:r>
    </w:p>
    <w:p w14:paraId="0409D421" w14:textId="77777777" w:rsidR="00F72D5A" w:rsidRPr="00B67588" w:rsidRDefault="00000000">
      <w:pPr>
        <w:spacing w:after="80" w:line="252" w:lineRule="auto"/>
        <w:ind w:left="360" w:hanging="360"/>
        <w:rPr>
          <w:color w:val="000000"/>
        </w:rPr>
      </w:pPr>
      <w:r w:rsidRPr="00B67588">
        <w:rPr>
          <w:color w:val="000000"/>
        </w:rPr>
        <w:t xml:space="preserve">Deutsch, C. A., Tewksbury, J. J., Huey, R. B., Sheldon, K. S., Ghalambor, C. K., Haak, D. C., &amp; Martin, P. R. (2008). Impacts of climate warming on terrestrial ectotherms across latitude. </w:t>
      </w:r>
      <w:r w:rsidRPr="00B67588">
        <w:rPr>
          <w:i/>
          <w:iCs/>
          <w:color w:val="000000"/>
        </w:rPr>
        <w:t>PNAS</w:t>
      </w:r>
      <w:r w:rsidRPr="00B67588">
        <w:rPr>
          <w:color w:val="000000"/>
        </w:rPr>
        <w:t xml:space="preserve"> 105 (Suppl. 2), 6668-6672.</w:t>
      </w:r>
    </w:p>
    <w:p w14:paraId="081B9A2F" w14:textId="77777777" w:rsidR="00F72D5A" w:rsidRPr="00B67588" w:rsidRDefault="00000000">
      <w:pPr>
        <w:spacing w:after="80" w:line="252" w:lineRule="auto"/>
        <w:ind w:left="360" w:hanging="360"/>
        <w:rPr>
          <w:color w:val="000000"/>
        </w:rPr>
      </w:pPr>
      <w:r w:rsidRPr="00B67588">
        <w:rPr>
          <w:color w:val="000000"/>
        </w:rPr>
        <w:t xml:space="preserve">Dowd, W. W., King, F. A., &amp; Denny, M. W. (2015). Thermal variation, thermal extremes and the physiological performance of individuals. </w:t>
      </w:r>
      <w:r w:rsidRPr="00B67588">
        <w:rPr>
          <w:i/>
          <w:iCs/>
          <w:color w:val="000000"/>
        </w:rPr>
        <w:t>Journal of Experimental Biology</w:t>
      </w:r>
      <w:r w:rsidRPr="00B67588">
        <w:rPr>
          <w:color w:val="000000"/>
        </w:rPr>
        <w:t xml:space="preserve"> 218, 1956-1967.</w:t>
      </w:r>
    </w:p>
    <w:p w14:paraId="25F6A649" w14:textId="77777777" w:rsidR="00F72D5A" w:rsidRPr="00B67588" w:rsidRDefault="00000000">
      <w:pPr>
        <w:spacing w:after="80" w:line="252" w:lineRule="auto"/>
        <w:ind w:left="360" w:hanging="360"/>
        <w:rPr>
          <w:color w:val="000000"/>
        </w:rPr>
      </w:pPr>
      <w:r w:rsidRPr="00B67588">
        <w:rPr>
          <w:color w:val="000000"/>
        </w:rPr>
        <w:t xml:space="preserve">George, M. N., Cattau, O., Middleton, M. A., Lawson, D., Vadopalas, B., Gavery, M., &amp; Roberts, S. B. (2023). Triploid Pacific oysters exhibit stress response dysregulation and elevated mortality following heatwaves. </w:t>
      </w:r>
      <w:r w:rsidRPr="00B67588">
        <w:rPr>
          <w:i/>
          <w:iCs/>
          <w:color w:val="000000"/>
        </w:rPr>
        <w:t>Global Change Biology</w:t>
      </w:r>
      <w:r w:rsidRPr="00B67588">
        <w:rPr>
          <w:color w:val="000000"/>
        </w:rPr>
        <w:t xml:space="preserve"> 29, 6969-6987.</w:t>
      </w:r>
    </w:p>
    <w:p w14:paraId="0256149E" w14:textId="77777777" w:rsidR="00F72D5A" w:rsidRPr="00B67588" w:rsidRDefault="00000000">
      <w:pPr>
        <w:spacing w:after="80" w:line="252" w:lineRule="auto"/>
        <w:ind w:left="360" w:hanging="360"/>
        <w:rPr>
          <w:color w:val="000000"/>
        </w:rPr>
      </w:pPr>
      <w:r w:rsidRPr="00B67588">
        <w:rPr>
          <w:color w:val="000000"/>
        </w:rPr>
        <w:t xml:space="preserve">Gouhier, T. C., &amp; Pillai, P. (2019). Commentary: Nonlinear averaging of thermal experience predicts population growth rates in a thermally variable environment. </w:t>
      </w:r>
      <w:r w:rsidRPr="00B67588">
        <w:rPr>
          <w:i/>
          <w:iCs/>
          <w:color w:val="000000"/>
        </w:rPr>
        <w:t>Frontiers in Ecology and Evolution</w:t>
      </w:r>
      <w:r w:rsidRPr="00B67588">
        <w:rPr>
          <w:color w:val="000000"/>
        </w:rPr>
        <w:t xml:space="preserve"> 7, 236.</w:t>
      </w:r>
    </w:p>
    <w:p w14:paraId="3B619990" w14:textId="77777777" w:rsidR="00F72D5A" w:rsidRPr="00B67588" w:rsidRDefault="00000000">
      <w:pPr>
        <w:spacing w:after="80" w:line="252" w:lineRule="auto"/>
        <w:ind w:left="360" w:hanging="360"/>
        <w:rPr>
          <w:color w:val="000000"/>
        </w:rPr>
      </w:pPr>
      <w:r w:rsidRPr="00B67588">
        <w:rPr>
          <w:color w:val="000000"/>
        </w:rPr>
        <w:t xml:space="preserve">Hoffmann, A. A., &amp; Sgrò, C. M. (2011). Climate change and evolutionary adaptation. </w:t>
      </w:r>
      <w:r w:rsidRPr="00B67588">
        <w:rPr>
          <w:i/>
          <w:iCs/>
          <w:color w:val="000000"/>
        </w:rPr>
        <w:t>Nature</w:t>
      </w:r>
      <w:r w:rsidRPr="00B67588">
        <w:rPr>
          <w:color w:val="000000"/>
        </w:rPr>
        <w:t xml:space="preserve"> 470, 479-485.</w:t>
      </w:r>
    </w:p>
    <w:p w14:paraId="2A4CEA94" w14:textId="77777777" w:rsidR="00F72D5A" w:rsidRPr="00B67588" w:rsidRDefault="00000000">
      <w:pPr>
        <w:spacing w:after="80" w:line="252" w:lineRule="auto"/>
        <w:ind w:left="360" w:hanging="360"/>
        <w:rPr>
          <w:color w:val="000000"/>
        </w:rPr>
      </w:pPr>
      <w:r w:rsidRPr="00B67588">
        <w:rPr>
          <w:color w:val="000000"/>
        </w:rPr>
        <w:t xml:space="preserve">Hofmann, G. E., Buckley, B. A., Airaksinen, S., Keen, J. E., &amp; Somero, G. N. (2000). Heat-shock protein expression is absent in the Antarctic fish </w:t>
      </w:r>
      <w:r w:rsidRPr="00B67588">
        <w:rPr>
          <w:i/>
          <w:iCs/>
          <w:color w:val="000000"/>
        </w:rPr>
        <w:t>Trematomus bernacchii</w:t>
      </w:r>
      <w:r w:rsidRPr="00B67588">
        <w:rPr>
          <w:color w:val="000000"/>
        </w:rPr>
        <w:t xml:space="preserve">. </w:t>
      </w:r>
      <w:r w:rsidRPr="00B67588">
        <w:rPr>
          <w:i/>
          <w:iCs/>
          <w:color w:val="000000"/>
        </w:rPr>
        <w:t>Journal of Experimental Biology</w:t>
      </w:r>
      <w:r w:rsidRPr="00B67588">
        <w:rPr>
          <w:color w:val="000000"/>
        </w:rPr>
        <w:t xml:space="preserve"> 203, 2331-2339.</w:t>
      </w:r>
    </w:p>
    <w:p w14:paraId="63D00243" w14:textId="77777777" w:rsidR="00F72D5A" w:rsidRPr="00B67588" w:rsidRDefault="00000000">
      <w:pPr>
        <w:spacing w:after="80" w:line="252" w:lineRule="auto"/>
        <w:ind w:left="360" w:hanging="360"/>
        <w:rPr>
          <w:color w:val="000000"/>
        </w:rPr>
      </w:pPr>
      <w:r w:rsidRPr="00B67588">
        <w:rPr>
          <w:color w:val="000000"/>
        </w:rPr>
        <w:t xml:space="preserve">Johnson, A. S., &amp; Koehl, M. A. R. (1994). Maintenance of dynamic strain similarity and environmental stress factor in different flow habitats: thallus allometry and material properties of a giant kelp. </w:t>
      </w:r>
      <w:r w:rsidRPr="00B67588">
        <w:rPr>
          <w:i/>
          <w:iCs/>
          <w:color w:val="000000"/>
        </w:rPr>
        <w:t>Journal of Experimental Biology</w:t>
      </w:r>
      <w:r w:rsidRPr="00B67588">
        <w:rPr>
          <w:color w:val="000000"/>
        </w:rPr>
        <w:t xml:space="preserve"> 195, 381-410.</w:t>
      </w:r>
    </w:p>
    <w:p w14:paraId="3DF39DA8" w14:textId="77777777" w:rsidR="00CE3FC5" w:rsidRPr="00B67588" w:rsidRDefault="00000000">
      <w:pPr>
        <w:spacing w:after="80" w:line="252" w:lineRule="auto"/>
        <w:ind w:left="360" w:hanging="360"/>
        <w:rPr>
          <w:color w:val="000000"/>
        </w:rPr>
      </w:pPr>
      <w:r w:rsidRPr="00B67588">
        <w:rPr>
          <w:color w:val="000000"/>
        </w:rPr>
        <w:t xml:space="preserve">Jørgensen, L. B., Malte, H., &amp; Overgaard, J. (2021). A unifying model to estimate thermal tolerance limits in ectotherms across static, dynamic and fluctuating exposures to thermal stress. </w:t>
      </w:r>
      <w:r w:rsidRPr="00B67588">
        <w:rPr>
          <w:i/>
          <w:iCs/>
          <w:color w:val="000000"/>
        </w:rPr>
        <w:t>Scientific Reports</w:t>
      </w:r>
      <w:r w:rsidRPr="00B67588">
        <w:rPr>
          <w:color w:val="000000"/>
        </w:rPr>
        <w:t xml:space="preserve"> 11, 12840.</w:t>
      </w:r>
    </w:p>
    <w:p w14:paraId="45F3FD4A" w14:textId="77777777" w:rsidR="00CE3FC5" w:rsidRPr="00B67588" w:rsidRDefault="00000000">
      <w:pPr>
        <w:spacing w:after="80" w:line="252" w:lineRule="auto"/>
        <w:ind w:left="360" w:hanging="360"/>
        <w:rPr>
          <w:color w:val="000000"/>
        </w:rPr>
      </w:pPr>
      <w:r w:rsidRPr="00B67588">
        <w:rPr>
          <w:color w:val="000000"/>
        </w:rPr>
        <w:t xml:space="preserve">Jørgensen, L. B., Ørsted, M., Malte, H., Wang, T., &amp; Overgaard, J. (2022). Extreme escalation of heat failure rates in ectotherms with global warming. </w:t>
      </w:r>
      <w:r w:rsidRPr="00B67588">
        <w:rPr>
          <w:i/>
          <w:iCs/>
          <w:color w:val="000000"/>
        </w:rPr>
        <w:t>Nature</w:t>
      </w:r>
      <w:r w:rsidRPr="00B67588">
        <w:rPr>
          <w:color w:val="000000"/>
        </w:rPr>
        <w:t xml:space="preserve"> 611, 93-98.</w:t>
      </w:r>
    </w:p>
    <w:p w14:paraId="3C48CFC2" w14:textId="77777777" w:rsidR="00CE3FC5" w:rsidRPr="00B67588" w:rsidRDefault="00000000">
      <w:pPr>
        <w:spacing w:after="80" w:line="252" w:lineRule="auto"/>
        <w:ind w:left="360" w:hanging="360"/>
        <w:rPr>
          <w:color w:val="000000"/>
        </w:rPr>
      </w:pPr>
      <w:r w:rsidRPr="00B67588">
        <w:rPr>
          <w:color w:val="000000"/>
        </w:rPr>
        <w:t xml:space="preserve">Lannig, G., Storch, D., &amp; Pörtner, H.-O. (2005). Aerobic mitochondrial capacities in Antarctic and temperate eelpout (Zoarcidae) subjected to warm versus cold acclimation. </w:t>
      </w:r>
      <w:r w:rsidRPr="00B67588">
        <w:rPr>
          <w:i/>
          <w:iCs/>
          <w:color w:val="000000"/>
        </w:rPr>
        <w:t>Polar Biology</w:t>
      </w:r>
      <w:r w:rsidRPr="00B67588">
        <w:rPr>
          <w:color w:val="000000"/>
        </w:rPr>
        <w:t xml:space="preserve"> 28, 575-584.</w:t>
      </w:r>
    </w:p>
    <w:p w14:paraId="50571114" w14:textId="77777777" w:rsidR="00F72D5A" w:rsidRPr="00B67588" w:rsidRDefault="00000000">
      <w:pPr>
        <w:spacing w:after="80" w:line="252" w:lineRule="auto"/>
        <w:ind w:left="360" w:hanging="360"/>
        <w:rPr>
          <w:color w:val="000000"/>
        </w:rPr>
      </w:pPr>
      <w:r w:rsidRPr="00B67588">
        <w:rPr>
          <w:color w:val="000000"/>
        </w:rPr>
        <w:t xml:space="preserve">Lefevre, S. (2016). Are global warming and ocean acidification conspiring against marine ectotherms? A meta-analysis. </w:t>
      </w:r>
      <w:r w:rsidRPr="00B67588">
        <w:rPr>
          <w:i/>
          <w:iCs/>
          <w:color w:val="000000"/>
        </w:rPr>
        <w:t>Conservation Physiology</w:t>
      </w:r>
      <w:r w:rsidRPr="00B67588">
        <w:rPr>
          <w:color w:val="000000"/>
        </w:rPr>
        <w:t xml:space="preserve"> 4, cow009.</w:t>
      </w:r>
    </w:p>
    <w:p w14:paraId="373710AC" w14:textId="77777777" w:rsidR="00CE3FC5" w:rsidRPr="00B67588" w:rsidRDefault="00000000">
      <w:pPr>
        <w:spacing w:after="80" w:line="252" w:lineRule="auto"/>
        <w:ind w:left="360" w:hanging="360"/>
        <w:rPr>
          <w:color w:val="000000"/>
        </w:rPr>
      </w:pPr>
      <w:r w:rsidRPr="00B67588">
        <w:rPr>
          <w:color w:val="000000"/>
        </w:rPr>
        <w:t xml:space="preserve">Mark, F. C., Bock, C., &amp; Pörtner, H.-O. (2002). Oxygen-limited thermal tolerance in Antarctic fish investigated by MRI and 31P-MRS. </w:t>
      </w:r>
      <w:r w:rsidRPr="00B67588">
        <w:rPr>
          <w:i/>
          <w:iCs/>
          <w:color w:val="000000"/>
        </w:rPr>
        <w:t>American Journal of Physiology-Regulatory, Integrative and Comparative Physiology</w:t>
      </w:r>
      <w:r w:rsidRPr="00B67588">
        <w:rPr>
          <w:color w:val="000000"/>
        </w:rPr>
        <w:t xml:space="preserve"> 283, R1254-R1262.</w:t>
      </w:r>
    </w:p>
    <w:p>
      <w:pPr>
        <w:spacing w:after="80" w:line="252" w:lineRule="auto"/>
        <w:ind w:left="360" w:hanging="360"/>
        <w:rPr>
          <w:color w:val="000000"/>
        </w:rPr>
      </w:pPr>
      <w:r>
        <w:rPr>
          <w:color w:val="000000"/>
        </w:rPr>
        <w:t xml:space="preserve">Molina, A. N., García-Huidobro, M. R., Rezende, E. L., &amp; Carter, M. J. (2025). Chronic heat tolerance reveals overestimated thermal safety margins and increased vulnerability in marine fish populations. </w:t>
      </w:r>
      <w:r>
        <w:rPr>
          <w:i/>
          <w:iCs/>
          <w:color w:val="000000"/>
        </w:rPr>
        <w:t xml:space="preserve">Ecology Letters</w:t>
      </w:r>
      <w:r>
        <w:rPr>
          <w:color w:val="000000"/>
        </w:rPr>
        <w:t xml:space="preserve"> 28, e70165.</w:t>
      </w:r>
    </w:p>
    <w:p w14:paraId="5687593F" w14:textId="77777777" w:rsidR="00F72D5A" w:rsidRPr="00B67588" w:rsidRDefault="00000000">
      <w:pPr>
        <w:spacing w:after="80" w:line="252" w:lineRule="auto"/>
        <w:ind w:left="360" w:hanging="360"/>
        <w:rPr>
          <w:color w:val="000000"/>
        </w:rPr>
      </w:pPr>
      <w:r w:rsidRPr="00B67588">
        <w:rPr>
          <w:color w:val="000000"/>
        </w:rPr>
        <w:t xml:space="preserve">Newcomb, L. A., George, M. N., O’Donnell, M. J., &amp; Carrington, E. (2019). Only as strong as the weakest link: structural analysis of the combined effects of elevated temperature and pCO2 on mussel attachment. </w:t>
      </w:r>
      <w:r w:rsidRPr="00B67588">
        <w:rPr>
          <w:i/>
          <w:iCs/>
          <w:color w:val="000000"/>
        </w:rPr>
        <w:t>Conservation Physiology</w:t>
      </w:r>
      <w:r w:rsidRPr="00B67588">
        <w:rPr>
          <w:color w:val="000000"/>
        </w:rPr>
        <w:t xml:space="preserve"> 7, coz068.</w:t>
      </w:r>
    </w:p>
    <w:p w14:paraId="217799A9" w14:textId="77777777" w:rsidR="00F72D5A" w:rsidRPr="00B67588" w:rsidRDefault="00000000">
      <w:pPr>
        <w:spacing w:after="80" w:line="252" w:lineRule="auto"/>
        <w:ind w:left="360" w:hanging="360"/>
        <w:rPr>
          <w:color w:val="000000"/>
        </w:rPr>
      </w:pPr>
      <w:r w:rsidRPr="00B67588">
        <w:rPr>
          <w:color w:val="000000"/>
        </w:rPr>
        <w:t xml:space="preserve">O’Donnell, M. J., George, M. N., &amp; Carrington, E. (2013). Mussel byssus attachment weakened by ocean acidification. </w:t>
      </w:r>
      <w:r w:rsidRPr="00B67588">
        <w:rPr>
          <w:i/>
          <w:iCs/>
          <w:color w:val="000000"/>
        </w:rPr>
        <w:t>Nature Climate Change</w:t>
      </w:r>
      <w:r w:rsidRPr="00B67588">
        <w:rPr>
          <w:color w:val="000000"/>
        </w:rPr>
        <w:t xml:space="preserve"> 3, 587-590.</w:t>
      </w:r>
    </w:p>
    <w:p w14:paraId="044E9EB9" w14:textId="77777777" w:rsidR="00CE3FC5" w:rsidRPr="00B67588" w:rsidRDefault="00000000">
      <w:pPr>
        <w:spacing w:after="80" w:line="252" w:lineRule="auto"/>
        <w:ind w:left="360" w:hanging="360"/>
        <w:rPr>
          <w:color w:val="000000"/>
        </w:rPr>
      </w:pPr>
      <w:r w:rsidRPr="00B67588">
        <w:rPr>
          <w:color w:val="000000"/>
        </w:rPr>
        <w:t xml:space="preserve">Ørsted, M., Jørgensen, L. B., &amp; Overgaard, J. (2022). Finding the right thermal limit: a framework to reconcile ecological, physiological and methodological aspects of CTmax in ectotherms. </w:t>
      </w:r>
      <w:r w:rsidRPr="00B67588">
        <w:rPr>
          <w:i/>
          <w:iCs/>
          <w:color w:val="000000"/>
        </w:rPr>
        <w:t>Journal of Experimental Biology</w:t>
      </w:r>
      <w:r w:rsidRPr="00B67588">
        <w:rPr>
          <w:color w:val="000000"/>
        </w:rPr>
        <w:t xml:space="preserve"> 225, jeb244514.</w:t>
      </w:r>
    </w:p>
    <w:p w14:paraId="572BC6C5" w14:textId="77777777" w:rsidR="00F72D5A" w:rsidRPr="00B67588" w:rsidRDefault="00000000">
      <w:pPr>
        <w:spacing w:after="80" w:line="252" w:lineRule="auto"/>
        <w:ind w:left="360" w:hanging="360"/>
        <w:rPr>
          <w:color w:val="000000"/>
        </w:rPr>
      </w:pPr>
      <w:r w:rsidRPr="00B67588">
        <w:rPr>
          <w:color w:val="000000"/>
        </w:rPr>
        <w:lastRenderedPageBreak/>
        <w:t xml:space="preserve">Pinsky, M. L., Eikeset, A. M., McCauley, D. J., Payne, J. L., &amp; Sunday, J. M. (2019). Greater vulnerability to warming of marine versus terrestrial ectotherms. </w:t>
      </w:r>
      <w:r w:rsidRPr="00B67588">
        <w:rPr>
          <w:i/>
          <w:iCs/>
          <w:color w:val="000000"/>
        </w:rPr>
        <w:t>Nature</w:t>
      </w:r>
      <w:r w:rsidRPr="00B67588">
        <w:rPr>
          <w:color w:val="000000"/>
        </w:rPr>
        <w:t xml:space="preserve"> 569, 108-111.</w:t>
      </w:r>
    </w:p>
    <w:p w14:paraId="457549CF" w14:textId="77777777" w:rsidR="00F72D5A" w:rsidRPr="00B67588" w:rsidRDefault="00000000">
      <w:pPr>
        <w:spacing w:after="80" w:line="252" w:lineRule="auto"/>
        <w:ind w:left="360" w:hanging="360"/>
        <w:rPr>
          <w:color w:val="000000"/>
        </w:rPr>
      </w:pPr>
      <w:r w:rsidRPr="00B67588">
        <w:rPr>
          <w:color w:val="000000"/>
        </w:rPr>
        <w:t xml:space="preserve">Pörtner, H.-O., Bock, C., &amp; Mark, F. C. (2017). Oxygen- and capacity-limited thermal tolerance: bridging ecology and physiology. </w:t>
      </w:r>
      <w:r w:rsidRPr="00B67588">
        <w:rPr>
          <w:i/>
          <w:iCs/>
          <w:color w:val="000000"/>
        </w:rPr>
        <w:t>Journal of Experimental Biology</w:t>
      </w:r>
      <w:r w:rsidRPr="00B67588">
        <w:rPr>
          <w:color w:val="000000"/>
        </w:rPr>
        <w:t xml:space="preserve"> 220, 2685-2696.</w:t>
      </w:r>
    </w:p>
    <w:p w14:paraId="3F9D66A9" w14:textId="77777777" w:rsidR="00F72D5A" w:rsidRPr="00B67588" w:rsidRDefault="00000000">
      <w:pPr>
        <w:spacing w:after="80" w:line="252" w:lineRule="auto"/>
        <w:ind w:left="360" w:hanging="360"/>
        <w:rPr>
          <w:color w:val="000000"/>
        </w:rPr>
      </w:pPr>
      <w:r w:rsidRPr="00B67588">
        <w:rPr>
          <w:color w:val="000000"/>
        </w:rPr>
        <w:t xml:space="preserve">Pörtner, H.-O., &amp; Knust, R. (2007). Climate change affects marine fishes through the oxygen limitation of thermal tolerance. </w:t>
      </w:r>
      <w:r w:rsidRPr="00B67588">
        <w:rPr>
          <w:i/>
          <w:iCs/>
          <w:color w:val="000000"/>
        </w:rPr>
        <w:t>Science</w:t>
      </w:r>
      <w:r w:rsidRPr="00B67588">
        <w:rPr>
          <w:color w:val="000000"/>
        </w:rPr>
        <w:t xml:space="preserve"> 315, 95-97.</w:t>
      </w:r>
    </w:p>
    <w:p w14:paraId="147840C8" w14:textId="77777777" w:rsidR="00CE3FC5" w:rsidRPr="00B67588" w:rsidRDefault="00000000">
      <w:pPr>
        <w:spacing w:after="80" w:line="252" w:lineRule="auto"/>
        <w:ind w:left="360" w:hanging="360"/>
        <w:rPr>
          <w:color w:val="000000"/>
        </w:rPr>
      </w:pPr>
      <w:r w:rsidRPr="00B67588">
        <w:rPr>
          <w:color w:val="000000"/>
        </w:rPr>
        <w:t xml:space="preserve">Rezende, E. L., Castañeda, L. E., &amp; Santos, M. (2014). Tolerance landscapes in thermal ecology. </w:t>
      </w:r>
      <w:r w:rsidRPr="00B67588">
        <w:rPr>
          <w:i/>
          <w:iCs/>
          <w:color w:val="000000"/>
        </w:rPr>
        <w:t>Functional Ecology</w:t>
      </w:r>
      <w:r w:rsidRPr="00B67588">
        <w:rPr>
          <w:color w:val="000000"/>
        </w:rPr>
        <w:t xml:space="preserve"> 28, 799-809.</w:t>
      </w:r>
    </w:p>
    <w:p w14:paraId="6459F4E6" w14:textId="77777777" w:rsidR="00CE3FC5" w:rsidRPr="00B67588" w:rsidRDefault="00000000">
      <w:pPr>
        <w:spacing w:after="80" w:line="252" w:lineRule="auto"/>
        <w:ind w:left="360" w:hanging="360"/>
        <w:rPr>
          <w:color w:val="000000"/>
        </w:rPr>
      </w:pPr>
      <w:r w:rsidRPr="00B67588">
        <w:rPr>
          <w:color w:val="000000"/>
        </w:rPr>
        <w:t xml:space="preserve">Sartoris, F. J., Bock, C., &amp; Pörtner, H.-O. (2003). Temperature-dependent pH regulation in eurythermal and stenothermal marine fish: an interspecies comparison using 31P-NMR. </w:t>
      </w:r>
      <w:r w:rsidRPr="00B67588">
        <w:rPr>
          <w:i/>
          <w:iCs/>
          <w:color w:val="000000"/>
        </w:rPr>
        <w:t>Journal of Thermal Biology</w:t>
      </w:r>
      <w:r w:rsidRPr="00B67588">
        <w:rPr>
          <w:color w:val="000000"/>
        </w:rPr>
        <w:t xml:space="preserve"> 28, 363-371.</w:t>
      </w:r>
    </w:p>
    <w:p w14:paraId="6A14F6E4" w14:textId="77777777" w:rsidR="00F72D5A" w:rsidRPr="00B67588" w:rsidRDefault="00000000">
      <w:pPr>
        <w:spacing w:after="80" w:line="252" w:lineRule="auto"/>
        <w:ind w:left="360" w:hanging="360"/>
        <w:rPr>
          <w:color w:val="000000"/>
        </w:rPr>
      </w:pPr>
      <w:r w:rsidRPr="00B67588">
        <w:rPr>
          <w:color w:val="000000"/>
        </w:rPr>
        <w:t xml:space="preserve">Sokolova, I. M. (2013). Energy-limited tolerance to stress as a conceptual framework to integrate the effects of multiple stressors. </w:t>
      </w:r>
      <w:r w:rsidRPr="00B67588">
        <w:rPr>
          <w:i/>
          <w:iCs/>
          <w:color w:val="000000"/>
        </w:rPr>
        <w:t>Integrative and Comparative Biology</w:t>
      </w:r>
      <w:r w:rsidRPr="00B67588">
        <w:rPr>
          <w:color w:val="000000"/>
        </w:rPr>
        <w:t xml:space="preserve"> 53, 597-608.</w:t>
      </w:r>
    </w:p>
    <w:p w14:paraId="415072C7" w14:textId="77777777" w:rsidR="00F72D5A" w:rsidRPr="00B67588" w:rsidRDefault="00000000">
      <w:pPr>
        <w:spacing w:after="80" w:line="252" w:lineRule="auto"/>
        <w:ind w:left="360" w:hanging="360"/>
        <w:rPr>
          <w:color w:val="000000"/>
        </w:rPr>
      </w:pPr>
      <w:r w:rsidRPr="00B67588">
        <w:rPr>
          <w:color w:val="000000"/>
        </w:rPr>
        <w:t xml:space="preserve">Somero, G. N. (2010). The physiology of climate change: how potentials for acclimatization and genetic adaptation will determine “winners” and “losers.” </w:t>
      </w:r>
      <w:r w:rsidRPr="00B67588">
        <w:rPr>
          <w:i/>
          <w:iCs/>
          <w:color w:val="000000"/>
        </w:rPr>
        <w:t>Journal of Experimental Biology</w:t>
      </w:r>
      <w:r w:rsidRPr="00B67588">
        <w:rPr>
          <w:color w:val="000000"/>
        </w:rPr>
        <w:t xml:space="preserve"> 213, 912-920.</w:t>
      </w:r>
    </w:p>
    <w:p w14:paraId="46500FFD" w14:textId="77777777" w:rsidR="00F72D5A" w:rsidRPr="00B67588" w:rsidRDefault="00000000">
      <w:pPr>
        <w:spacing w:after="80" w:line="252" w:lineRule="auto"/>
        <w:ind w:left="360" w:hanging="360"/>
        <w:rPr>
          <w:color w:val="000000"/>
        </w:rPr>
      </w:pPr>
      <w:r w:rsidRPr="00B67588">
        <w:rPr>
          <w:color w:val="000000"/>
        </w:rPr>
        <w:t xml:space="preserve">Sunday, J. M., Bates, A. E., Kearney, M. R., Colwell, R. K., Dulvy, N. K., Longino, J. T., &amp; Huey, R. B. (2014). Thermal-safety margins and the necessity of thermoregulatory behavior across latitude and elevation. </w:t>
      </w:r>
      <w:r w:rsidRPr="00B67588">
        <w:rPr>
          <w:i/>
          <w:iCs/>
          <w:color w:val="000000"/>
        </w:rPr>
        <w:t>PNAS</w:t>
      </w:r>
      <w:r w:rsidRPr="00B67588">
        <w:rPr>
          <w:color w:val="000000"/>
        </w:rPr>
        <w:t xml:space="preserve"> 111, 5610-5615.</w:t>
      </w:r>
    </w:p>
    <w:p w14:paraId="088232A2" w14:textId="77777777" w:rsidR="00F72D5A" w:rsidRPr="00B67588" w:rsidRDefault="00000000">
      <w:pPr>
        <w:spacing w:after="80" w:line="252" w:lineRule="auto"/>
        <w:ind w:left="360" w:hanging="360"/>
        <w:rPr>
          <w:color w:val="000000"/>
        </w:rPr>
      </w:pPr>
      <w:r w:rsidRPr="00B67588">
        <w:rPr>
          <w:color w:val="000000"/>
        </w:rPr>
        <w:t xml:space="preserve">Vasseur, D. A., DeLong, J. P., Gilbert, B., Greig, H. S., Harley, C. D. G., McCann, K. S., Savage, V., Tunney, T. D., &amp; O’Connor, M. I. (2014). Increased temperature variation poses a greater risk to species than climate warming. </w:t>
      </w:r>
      <w:r w:rsidRPr="00B67588">
        <w:rPr>
          <w:i/>
          <w:iCs/>
          <w:color w:val="000000"/>
        </w:rPr>
        <w:t>Proceedings of the Royal Society B</w:t>
      </w:r>
      <w:r w:rsidRPr="00B67588">
        <w:rPr>
          <w:color w:val="000000"/>
        </w:rPr>
        <w:t xml:space="preserve"> 281, 20132612.</w:t>
      </w:r>
    </w:p>
    <w:p w14:paraId="05DD1C8A" w14:textId="77777777" w:rsidR="00CE3FC5" w:rsidRPr="00B67588" w:rsidRDefault="00000000">
      <w:pPr>
        <w:spacing w:after="80" w:line="252" w:lineRule="auto"/>
        <w:ind w:left="360" w:hanging="360"/>
        <w:rPr>
          <w:color w:val="000000"/>
        </w:rPr>
      </w:pPr>
      <w:r w:rsidRPr="00B67588">
        <w:rPr>
          <w:color w:val="000000"/>
        </w:rPr>
        <w:t xml:space="preserve">Windisch, H. S., Lucassen, M., &amp; Frickenhaus, S. (2012). Evolutionary force in confamiliar marine vertebrates of different temperature realms: adaptive trends in zoarcid fish transcriptomes. </w:t>
      </w:r>
      <w:r w:rsidRPr="00B67588">
        <w:rPr>
          <w:i/>
          <w:iCs/>
          <w:color w:val="000000"/>
        </w:rPr>
        <w:t>BMC Genomics</w:t>
      </w:r>
      <w:r w:rsidRPr="00B67588">
        <w:rPr>
          <w:color w:val="000000"/>
        </w:rPr>
        <w:t xml:space="preserve"> 13, 549.</w:t>
      </w:r>
    </w:p>
    <w:p w14:paraId="0E9C89A4" w14:textId="77777777" w:rsidR="00CE3FC5" w:rsidRPr="00B67588" w:rsidRDefault="00000000">
      <w:pPr>
        <w:spacing w:after="80" w:line="252" w:lineRule="auto"/>
        <w:ind w:left="360" w:hanging="360"/>
        <w:rPr>
          <w:color w:val="000000"/>
        </w:rPr>
      </w:pPr>
      <w:r w:rsidRPr="00B67588">
        <w:rPr>
          <w:color w:val="000000"/>
        </w:rPr>
        <w:t xml:space="preserve">Windisch, H. S., Frickenhaus, S., John, U., Knust, R., Pörtner, H.-O., &amp; Lucassen, M. (2014). Stress response or beneficial temperature acclimation: transcriptomic signatures in Antarctic fish (Pachycara brachycephalum). </w:t>
      </w:r>
      <w:r w:rsidRPr="00B67588">
        <w:rPr>
          <w:i/>
          <w:iCs/>
          <w:color w:val="000000"/>
        </w:rPr>
        <w:t>Molecular Ecology</w:t>
      </w:r>
      <w:r w:rsidRPr="00B67588">
        <w:rPr>
          <w:color w:val="000000"/>
        </w:rPr>
        <w:t xml:space="preserve"> 23, 3469-3482.</w:t>
      </w:r>
    </w:p>
    <w:p w14:paraId="26591233" w14:textId="77777777" w:rsidR="00F72D5A" w:rsidRPr="00B67588" w:rsidRDefault="00000000">
      <w:pPr>
        <w:pStyle w:val="Heading1"/>
      </w:pPr>
      <w:r w:rsidRPr="00B67588">
        <w:t>Figure 1 (conceptual model)</w:t>
      </w:r>
    </w:p>
    <w:p w14:paraId="421BFC27" w14:textId="77777777" w:rsidR="00F72D5A" w:rsidRPr="00B67588" w:rsidRDefault="00000000">
      <w:pPr>
        <w:shd w:val="clear" w:color="auto" w:fill="F2F2F2"/>
        <w:spacing w:after="100"/>
        <w:rPr>
          <w:color w:val="000000"/>
        </w:rPr>
      </w:pPr>
      <w:r w:rsidRPr="00B67588">
        <w:rPr>
          <w:b/>
          <w:bCs/>
          <w:color w:val="000000"/>
        </w:rPr>
        <w:t>[Figure to be generated, held per request]</w:t>
      </w:r>
    </w:p>
    <w:p w14:paraId="46A544E6" w14:textId="77777777" w:rsidR="00F72D5A" w:rsidRPr="00B67588" w:rsidRDefault="00000000">
      <w:pPr>
        <w:spacing w:after="140" w:line="264" w:lineRule="auto"/>
        <w:jc w:val="both"/>
        <w:rPr>
          <w:color w:val="000000"/>
        </w:rPr>
      </w:pPr>
      <w:r w:rsidRPr="00B67588">
        <w:rPr>
          <w:color w:val="000000"/>
        </w:rPr>
        <w:t>A single asymmetric thermal performance curve, with a gradual rise to the optimum and a steep collapse to the critical thermal maximum. The realized thermal regime is overlaid as a distribution on the temperature axis. Nonlinear averaging shows that the realized survival expectation sits below the value at the mean temperature (the Jensen penalty), and the gap between the critical thermal maximum and the realized thermal load is labeled as the safety margin. A side panel shows two genomic strategies that produce the same nominal limit: a frontloaded transcriptome (high constitutive stress-gene expression, low headroom) and a reactive, inducible one (low baseline, large inducible reach). The figure asserts that these two architectures predict different realized safety margins under fluctuation, because the reactive strategy can lag a fast extreme.</w:t>
      </w:r>
    </w:p>
    <w:sectPr w:rsidR="00F72D5A" w:rsidRPr="00B67588">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010A6" w14:textId="77777777" w:rsidR="00552F96" w:rsidRDefault="00552F96">
      <w:r>
        <w:separator/>
      </w:r>
    </w:p>
  </w:endnote>
  <w:endnote w:type="continuationSeparator" w:id="0">
    <w:p w14:paraId="24E90715" w14:textId="77777777" w:rsidR="00552F96" w:rsidRDefault="00552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54A9E" w14:textId="77777777" w:rsidR="00552F96" w:rsidRDefault="00552F96">
      <w:r>
        <w:separator/>
      </w:r>
    </w:p>
  </w:footnote>
  <w:footnote w:type="continuationSeparator" w:id="0">
    <w:p w14:paraId="7A8CDB9B" w14:textId="77777777" w:rsidR="00552F96" w:rsidRDefault="00552F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76CBE"/>
    <w:multiLevelType w:val="hybridMultilevel"/>
    <w:tmpl w:val="226CF1E6"/>
    <w:lvl w:ilvl="0" w:tplc="87A8CD2C">
      <w:start w:val="1"/>
      <w:numFmt w:val="bullet"/>
      <w:lvlText w:val="●"/>
      <w:lvlJc w:val="left"/>
      <w:pPr>
        <w:ind w:left="720" w:hanging="360"/>
      </w:pPr>
    </w:lvl>
    <w:lvl w:ilvl="1" w:tplc="C8C6FA36">
      <w:start w:val="1"/>
      <w:numFmt w:val="bullet"/>
      <w:lvlText w:val="○"/>
      <w:lvlJc w:val="left"/>
      <w:pPr>
        <w:ind w:left="1440" w:hanging="360"/>
      </w:pPr>
    </w:lvl>
    <w:lvl w:ilvl="2" w:tplc="A184E4A0">
      <w:start w:val="1"/>
      <w:numFmt w:val="bullet"/>
      <w:lvlText w:val="■"/>
      <w:lvlJc w:val="left"/>
      <w:pPr>
        <w:ind w:left="2160" w:hanging="360"/>
      </w:pPr>
    </w:lvl>
    <w:lvl w:ilvl="3" w:tplc="71AE91D6">
      <w:start w:val="1"/>
      <w:numFmt w:val="bullet"/>
      <w:lvlText w:val="●"/>
      <w:lvlJc w:val="left"/>
      <w:pPr>
        <w:ind w:left="2880" w:hanging="360"/>
      </w:pPr>
    </w:lvl>
    <w:lvl w:ilvl="4" w:tplc="2AEE4BD2">
      <w:start w:val="1"/>
      <w:numFmt w:val="bullet"/>
      <w:lvlText w:val="○"/>
      <w:lvlJc w:val="left"/>
      <w:pPr>
        <w:ind w:left="3600" w:hanging="360"/>
      </w:pPr>
    </w:lvl>
    <w:lvl w:ilvl="5" w:tplc="267A7A40">
      <w:start w:val="1"/>
      <w:numFmt w:val="bullet"/>
      <w:lvlText w:val="■"/>
      <w:lvlJc w:val="left"/>
      <w:pPr>
        <w:ind w:left="4320" w:hanging="360"/>
      </w:pPr>
    </w:lvl>
    <w:lvl w:ilvl="6" w:tplc="4E14CE58">
      <w:start w:val="1"/>
      <w:numFmt w:val="bullet"/>
      <w:lvlText w:val="●"/>
      <w:lvlJc w:val="left"/>
      <w:pPr>
        <w:ind w:left="5040" w:hanging="360"/>
      </w:pPr>
    </w:lvl>
    <w:lvl w:ilvl="7" w:tplc="B338D908">
      <w:start w:val="1"/>
      <w:numFmt w:val="bullet"/>
      <w:lvlText w:val="●"/>
      <w:lvlJc w:val="left"/>
      <w:pPr>
        <w:ind w:left="5760" w:hanging="360"/>
      </w:pPr>
    </w:lvl>
    <w:lvl w:ilvl="8" w:tplc="B76E7400">
      <w:start w:val="1"/>
      <w:numFmt w:val="bullet"/>
      <w:lvlText w:val="●"/>
      <w:lvlJc w:val="left"/>
      <w:pPr>
        <w:ind w:left="6480" w:hanging="360"/>
      </w:pPr>
    </w:lvl>
  </w:abstractNum>
  <w:abstractNum w:abstractNumId="1" w15:restartNumberingAfterBreak="0">
    <w:nsid w:val="5BED6911"/>
    <w:multiLevelType w:val="hybridMultilevel"/>
    <w:tmpl w:val="EB52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A54120"/>
    <w:multiLevelType w:val="hybridMultilevel"/>
    <w:tmpl w:val="5BB6EA9C"/>
    <w:lvl w:ilvl="0" w:tplc="F27C4088">
      <w:start w:val="1"/>
      <w:numFmt w:val="bullet"/>
      <w:lvlText w:val="•"/>
      <w:lvlJc w:val="left"/>
      <w:pPr>
        <w:ind w:left="460" w:hanging="260"/>
      </w:pPr>
      <w:rPr>
        <w:rFonts w:ascii="Arial" w:eastAsia="Arial" w:hAnsi="Arial" w:cs="Arial"/>
      </w:rPr>
    </w:lvl>
    <w:lvl w:ilvl="1" w:tplc="0756BBB8">
      <w:numFmt w:val="decimal"/>
      <w:lvlText w:val=""/>
      <w:lvlJc w:val="left"/>
    </w:lvl>
    <w:lvl w:ilvl="2" w:tplc="1B3062D4">
      <w:numFmt w:val="decimal"/>
      <w:lvlText w:val=""/>
      <w:lvlJc w:val="left"/>
    </w:lvl>
    <w:lvl w:ilvl="3" w:tplc="D2549886">
      <w:numFmt w:val="decimal"/>
      <w:lvlText w:val=""/>
      <w:lvlJc w:val="left"/>
    </w:lvl>
    <w:lvl w:ilvl="4" w:tplc="BDA28ABC">
      <w:numFmt w:val="decimal"/>
      <w:lvlText w:val=""/>
      <w:lvlJc w:val="left"/>
    </w:lvl>
    <w:lvl w:ilvl="5" w:tplc="F18E795C">
      <w:numFmt w:val="decimal"/>
      <w:lvlText w:val=""/>
      <w:lvlJc w:val="left"/>
    </w:lvl>
    <w:lvl w:ilvl="6" w:tplc="55B2DEC8">
      <w:numFmt w:val="decimal"/>
      <w:lvlText w:val=""/>
      <w:lvlJc w:val="left"/>
    </w:lvl>
    <w:lvl w:ilvl="7" w:tplc="4D9CB83A">
      <w:numFmt w:val="decimal"/>
      <w:lvlText w:val=""/>
      <w:lvlJc w:val="left"/>
    </w:lvl>
    <w:lvl w:ilvl="8" w:tplc="34AABB72">
      <w:numFmt w:val="decimal"/>
      <w:lvlText w:val=""/>
      <w:lvlJc w:val="left"/>
    </w:lvl>
  </w:abstractNum>
  <w:num w:numId="1" w16cid:durableId="809325290">
    <w:abstractNumId w:val="0"/>
    <w:lvlOverride w:ilvl="0">
      <w:startOverride w:val="1"/>
    </w:lvlOverride>
  </w:num>
  <w:num w:numId="2" w16cid:durableId="1377048737">
    <w:abstractNumId w:val="2"/>
    <w:lvlOverride w:ilvl="0">
      <w:startOverride w:val="1"/>
    </w:lvlOverride>
  </w:num>
  <w:num w:numId="3" w16cid:durableId="165295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D5A"/>
    <w:rsid w:val="0000171A"/>
    <w:rsid w:val="00020AE0"/>
    <w:rsid w:val="00026387"/>
    <w:rsid w:val="0003253C"/>
    <w:rsid w:val="00044318"/>
    <w:rsid w:val="00047004"/>
    <w:rsid w:val="000754A3"/>
    <w:rsid w:val="000C1EBD"/>
    <w:rsid w:val="000D781B"/>
    <w:rsid w:val="000F5433"/>
    <w:rsid w:val="00166822"/>
    <w:rsid w:val="001A0A14"/>
    <w:rsid w:val="001A3B95"/>
    <w:rsid w:val="001A5E0C"/>
    <w:rsid w:val="002345BA"/>
    <w:rsid w:val="00245341"/>
    <w:rsid w:val="00255DD8"/>
    <w:rsid w:val="00270DA0"/>
    <w:rsid w:val="002A79CA"/>
    <w:rsid w:val="002B387B"/>
    <w:rsid w:val="002C4487"/>
    <w:rsid w:val="002E784A"/>
    <w:rsid w:val="002F7634"/>
    <w:rsid w:val="00364554"/>
    <w:rsid w:val="00370877"/>
    <w:rsid w:val="003D4702"/>
    <w:rsid w:val="003E13D9"/>
    <w:rsid w:val="00420541"/>
    <w:rsid w:val="004554D6"/>
    <w:rsid w:val="00466EE0"/>
    <w:rsid w:val="004A0B8A"/>
    <w:rsid w:val="004E1CCE"/>
    <w:rsid w:val="00552F96"/>
    <w:rsid w:val="005B0BB5"/>
    <w:rsid w:val="005E2141"/>
    <w:rsid w:val="00620F40"/>
    <w:rsid w:val="006660C7"/>
    <w:rsid w:val="006C5811"/>
    <w:rsid w:val="006E4790"/>
    <w:rsid w:val="007465E4"/>
    <w:rsid w:val="00746D93"/>
    <w:rsid w:val="00841486"/>
    <w:rsid w:val="00916E04"/>
    <w:rsid w:val="00950DF3"/>
    <w:rsid w:val="00955099"/>
    <w:rsid w:val="009D2D29"/>
    <w:rsid w:val="009E3CEB"/>
    <w:rsid w:val="00A253FE"/>
    <w:rsid w:val="00A4210E"/>
    <w:rsid w:val="00A742D3"/>
    <w:rsid w:val="00AA33CD"/>
    <w:rsid w:val="00AC0916"/>
    <w:rsid w:val="00AC1E38"/>
    <w:rsid w:val="00AE3F7F"/>
    <w:rsid w:val="00B67588"/>
    <w:rsid w:val="00BD246A"/>
    <w:rsid w:val="00BF4086"/>
    <w:rsid w:val="00C80471"/>
    <w:rsid w:val="00CB5045"/>
    <w:rsid w:val="00CE3FC5"/>
    <w:rsid w:val="00CF69FB"/>
    <w:rsid w:val="00D07BA0"/>
    <w:rsid w:val="00D46DAE"/>
    <w:rsid w:val="00D566B7"/>
    <w:rsid w:val="00D84371"/>
    <w:rsid w:val="00DA61CC"/>
    <w:rsid w:val="00F45FE5"/>
    <w:rsid w:val="00F60DB1"/>
    <w:rsid w:val="00F72D5A"/>
    <w:rsid w:val="00F76535"/>
    <w:rsid w:val="00FA19EF"/>
    <w:rsid w:val="00FF7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7EC5B"/>
  <w15:docId w15:val="{83202133-896C-4DF7-8FE4-0B5EE38E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000000"/>
      <w:sz w:val="26"/>
      <w:szCs w:val="26"/>
    </w:rPr>
  </w:style>
  <w:style w:type="paragraph" w:styleId="Heading2">
    <w:name w:val="heading 2"/>
    <w:uiPriority w:val="9"/>
    <w:unhideWhenUsed/>
    <w:qFormat/>
    <w:pPr>
      <w:spacing w:before="180" w:after="8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2">
    <w:name w:val="Title2"/>
    <w:pPr>
      <w:spacing w:after="160"/>
    </w:pPr>
    <w:rPr>
      <w:b/>
      <w:bCs/>
      <w:sz w:val="30"/>
      <w:szCs w:val="30"/>
    </w:rPr>
  </w:style>
  <w:style w:type="paragraph" w:styleId="Header">
    <w:name w:val="header"/>
    <w:basedOn w:val="Normal"/>
    <w:link w:val="HeaderChar"/>
    <w:uiPriority w:val="99"/>
    <w:unhideWhenUsed/>
    <w:rsid w:val="00B67588"/>
    <w:pPr>
      <w:tabs>
        <w:tab w:val="center" w:pos="4680"/>
        <w:tab w:val="right" w:pos="9360"/>
      </w:tabs>
    </w:pPr>
  </w:style>
  <w:style w:type="character" w:customStyle="1" w:styleId="HeaderChar">
    <w:name w:val="Header Char"/>
    <w:basedOn w:val="DefaultParagraphFont"/>
    <w:link w:val="Header"/>
    <w:uiPriority w:val="99"/>
    <w:rsid w:val="00B67588"/>
  </w:style>
  <w:style w:type="paragraph" w:styleId="Footer">
    <w:name w:val="footer"/>
    <w:basedOn w:val="Normal"/>
    <w:link w:val="FooterChar"/>
    <w:uiPriority w:val="99"/>
    <w:unhideWhenUsed/>
    <w:rsid w:val="00B67588"/>
    <w:pPr>
      <w:tabs>
        <w:tab w:val="center" w:pos="4680"/>
        <w:tab w:val="right" w:pos="9360"/>
      </w:tabs>
    </w:pPr>
  </w:style>
  <w:style w:type="character" w:customStyle="1" w:styleId="FooterChar">
    <w:name w:val="Footer Char"/>
    <w:basedOn w:val="DefaultParagraphFont"/>
    <w:link w:val="Footer"/>
    <w:uiPriority w:val="99"/>
    <w:rsid w:val="00B67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61</TotalTime>
  <Pages>6</Pages>
  <Words>2997</Words>
  <Characters>17086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Matthew (DFW)</cp:lastModifiedBy>
  <cp:revision>55</cp:revision>
  <dcterms:created xsi:type="dcterms:W3CDTF">2026-07-01T07:22:00Z</dcterms:created>
  <dcterms:modified xsi:type="dcterms:W3CDTF">2026-07-02T00:10:00Z</dcterms:modified>
</cp:coreProperties>
</file>