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203B" w14:textId="77777777" w:rsidR="00F72D5A" w:rsidRDefault="00000000">
      <w:pPr>
        <w:pStyle w:val="Title2"/>
      </w:pPr>
      <w:r>
        <w:t>The physiological and genomic architecture of the thermal-survival safety margin across taxa</w:t>
      </w:r>
    </w:p>
    <w:p w14:paraId="6F7A535E" w14:textId="77777777" w:rsidR="00F72D5A" w:rsidRDefault="00000000">
      <w:pPr>
        <w:spacing w:after="30"/>
      </w:pPr>
      <w:r>
        <w:rPr>
          <w:b/>
          <w:bCs/>
        </w:rPr>
        <w:t xml:space="preserve">Applicant:  </w:t>
      </w:r>
      <w:r>
        <w:t>Matthew N. George</w:t>
      </w:r>
    </w:p>
    <w:p w14:paraId="42DD387B" w14:textId="77777777" w:rsidR="00F72D5A" w:rsidRDefault="00000000">
      <w:pPr>
        <w:spacing w:after="30"/>
      </w:pPr>
      <w:r>
        <w:rPr>
          <w:b/>
          <w:bCs/>
        </w:rPr>
        <w:t xml:space="preserve">Proposed host:  </w:t>
      </w:r>
      <w:r>
        <w:t>Felix Christopher Mark, Alfred Wegener Institute (AWI), Bremerhaven</w:t>
      </w:r>
    </w:p>
    <w:p w14:paraId="3BCC9FEC" w14:textId="77777777" w:rsidR="00F72D5A" w:rsidRDefault="00000000">
      <w:pPr>
        <w:spacing w:after="160"/>
      </w:pPr>
      <w:r>
        <w:rPr>
          <w:b/>
          <w:bCs/>
        </w:rPr>
        <w:t xml:space="preserve">Collaborator:  </w:t>
      </w:r>
      <w:r>
        <w:t>Paolo Domenici, CNR Institute of Biophysics, Italy</w:t>
      </w:r>
    </w:p>
    <w:p w14:paraId="34200763" w14:textId="77777777" w:rsidR="00F72D5A" w:rsidRDefault="00000000">
      <w:pPr>
        <w:pStyle w:val="Heading1"/>
      </w:pPr>
      <w:r>
        <w:t>Introduction</w:t>
      </w:r>
    </w:p>
    <w:p w14:paraId="4BC834F6" w14:textId="77777777" w:rsidR="00F72D5A" w:rsidRDefault="00000000">
      <w:pPr>
        <w:spacing w:after="140" w:line="264" w:lineRule="auto"/>
        <w:jc w:val="both"/>
      </w:pPr>
      <w:r>
        <w:t>Anthropogenic warming is now proceeding faster than most populations can adapt, exposing organisms to thermal stress and compressing the distance between the temperatures they experience and the limits they can tolerate (Hoffmann &amp; Sgrò 2011). This mismatch will determine which species persist and which decline (Somero 2010), and it is most acute in the sea. Marine ectotherms experience body temperatures that track the surrounding water, and they already live closer to their upper thermal limits, with narrower thermal safety margins, than terrestrial ectotherms at comparable latitudes; as a consequence they show higher rates of local extirpation at their warm range edges (Pinsky et al. 2019).</w:t>
      </w:r>
    </w:p>
    <w:p w14:paraId="5AA48C98" w14:textId="77777777" w:rsidR="00F72D5A" w:rsidRDefault="00000000">
      <w:pPr>
        <w:spacing w:after="140" w:line="264" w:lineRule="auto"/>
        <w:jc w:val="both"/>
      </w:pPr>
      <w:r>
        <w:t>Projections of which species persist usually rest on thermal limits measured under constant laboratory temperatures, compared against a mean field temperature. Mean temperature is a poor descriptor of the stress an organism actually carries in a variable environment (Denny 2017). Because thermal performance is a nonlinear function of temperature, the average of performance across a fluctuating regime is not equal to performance at the average temperature; this is Jensen’s inequality (Denny 2017; Dowd et al. 2015). On the decelerating, high-temperature shoulder of the performance curve, variance lowers expected performance, so the realized survival expectation under fluctuation sits below the value predicted at the mean, a shortfall that can be termed the Jensen penalty. Temperature variability can therefore pose a greater extinction risk than a shift in the mean alone (Vasseur et al. 2014). These nonlinearities complicate any forecast built from constant-temperature data and have prompted repeated calls to incorporate environmental variation explicitly into predictions of field performance (Dowd et al. 2015; Bernhardt et al. 2018). Notably, nonlinear averaging of a constant-temperature curve can quantitatively predict both increases and decreases in population growth under fluctuating regimes (Bernhardt et al. 2018), although the generality of that result is contested (Gouhier &amp; Pillai 2019).</w:t>
      </w:r>
    </w:p>
    <w:p w14:paraId="75B28B24" w14:textId="164712D2" w:rsidR="00F72D5A" w:rsidRDefault="00000000">
      <w:pPr>
        <w:spacing w:after="140" w:line="264" w:lineRule="auto"/>
        <w:jc w:val="both"/>
      </w:pPr>
      <w:r>
        <w:t>The distance between an organism’s thermal limit and the temperature it encounters is commonly formalized as a thermal safety margin, the difference between the critical thermal maximum and the warmest temperature experienced in the field (Deutsch et al. 2008; Sunday et al. 2014). This margin is the thermal counterpart of the mechanical safety factor, the ratio of capacity to load, that I used in my dissertation to explain when mussel attachment fails under hydrodynamic stress (Johnson &amp; Koehl 1994; O’Donnell et al. 2013; Newcomb et al. 2019). A margin estimated from a static limit and a static temperature can misstate the true buffer for two reasons. First, it ignores the Jensen penalty: the load that matters is not the mean but the realized distribution of temperatures, so the quantity of interest is the realized thermal safety margin under fluctuation rather than its nominal, constant-temperature counterpart. Second, organisms carry a latent stress load. In a variable environment, sublethal exposures accumulate cellular damage and draw down energetic reserves, so the functional margin at any instant depends on recent thermal history and the state of those reserves, not on instantaneous temperature alone (Sokolova 2013). Both corrections can be made quantitative by replacing the single critical temperature with a duration-dependent tolerance landscape, the thermal-death-time model, which describes how the tolerated temperature falls with exposure time and treats heat injury as cumulative and additive across a fluctuating exposure (Rezende et al. 2014; Jørgensen et al. 2021; Ørsted et al. 2022); because the rate of heat failure in this range rises by orders of magnitude per degree (Jørgensen et al. 2022), the realized margin against a heatwave can be far smaller than a static estimate implies.</w:t>
      </w:r>
    </w:p>
    <w:p w14:paraId="5D90E1CE" w14:textId="422DE5DF" w:rsidR="00F72D5A" w:rsidRDefault="00000000">
      <w:pPr>
        <w:spacing w:after="140" w:line="264" w:lineRule="auto"/>
        <w:jc w:val="both"/>
      </w:pPr>
      <w:r>
        <w:t xml:space="preserve">A central complication is that two organisms with the same nominal critical maximum can defend that limit through opposite molecular strategies, and these strategies predict different realized </w:t>
        <w:lastRenderedPageBreak/>
        <w:t>margins under fluctuation. One strategy is to pay in advance: a frontloaded transcriptome maintains high constitutive expression of cellular-stress genes, conferring immediate protection but leaving little inducible headroom (Barshis et al. 2013). The opposite strategy is reactive: a low baseline with a large inducible reserve that is mobilized only when temperature rises. Under slow or moderate fluctuation the two architectures can appear equivalent, but under a fast extreme the reactive strategy can lag (Figure 1). On this view the realized safety margin is not a fixed property of a species but an emergent outcome of where its molecular strategy sits on this axis and how quickly its environment changes.</w:t>
      </w:r>
    </w:p>
    <w:p w14:paraId="47CB0AC1" w14:textId="77777777" w:rsidR="00F72D5A" w:rsidRDefault="00000000">
      <w:pPr>
        <w:pStyle w:val="Heading1"/>
      </w:pPr>
      <w:r>
        <w:t>Aims and predictions</w:t>
      </w:r>
    </w:p>
    <w:p w14:paraId="0DE2EA37" w14:textId="77777777" w:rsidR="006E4790" w:rsidRDefault="006E4790" w:rsidP="006E4790">
      <w:pPr>
        <w:spacing w:after="140" w:line="264" w:lineRule="auto"/>
        <w:jc w:val="both"/>
      </w:pPr>
      <w:r>
        <w:t>This project asks whether the survival safety margin against extreme heat can be measured mechanistically, predicted from constant-temperature data, and explained by the underlying molecular strategy, across taxa that span a gradient of environmental thermal variability.</w:t>
      </w:r>
    </w:p>
    <w:p w14:paraId="53686E18" w14:textId="77777777" w:rsidR="00F72D5A" w:rsidRDefault="00000000">
      <w:pPr>
        <w:spacing w:after="140" w:line="264" w:lineRule="auto"/>
        <w:jc w:val="both"/>
      </w:pPr>
      <w:r>
        <w:t>The project tests three linked predictions. The first concerns the mechanism that sets the survival limit; the second, whether that limit is predictable from constant-temperature data; the third is the single sharpest contrast the design can resolve.</w:t>
      </w:r>
    </w:p>
    <w:p w14:paraId="685482B5" w14:textId="0F7D376C" w:rsidR="00F72D5A" w:rsidRDefault="00000000">
      <w:pPr>
        <w:pStyle w:val="ListParagraph"/>
        <w:numPr>
          <w:ilvl w:val="0"/>
          <w:numId w:val="2"/>
        </w:numPr>
        <w:spacing w:after="100" w:line="264" w:lineRule="auto"/>
        <w:jc w:val="both"/>
      </w:pPr>
      <w:r>
        <w:rPr>
          <w:b/>
          <w:bCs/>
        </w:rPr>
        <w:t xml:space="preserve">Mechanism of the limit. </w:t>
      </w:r>
      <w:r>
        <w:t>If the safety margin is oxygen- and capacity-limited in the OCLTT sense (Pörtner et al. 2017), the survival limit will coincide with the temperature at which in vivo NMR detects cardiac and ventilatory collapse, and within the phylogenetically matched eelpout pair the margin will track aerobic-scope reserve. Because bivalve cardiorespiratory physiology is not commensurable with the OCLTT aerobic-scope axis, this mechanistic test is anchored on the two eelpouts, while the mussel serves the predictability and generalization aims. If instead the limit is set by protein stability or by repair capacity, survival will fail at a temperature decoupled from the cardiac limit. Because OCLTT remains contested (Lefevre 2016), this is posed as an adjudicating test rather than an assumption, which is its principal strength.</w:t>
      </w:r>
    </w:p>
    <w:p w14:paraId="0D273A7D" w14:textId="77777777" w:rsidR="00F72D5A" w:rsidRDefault="00000000">
      <w:pPr>
        <w:pStyle w:val="ListParagraph"/>
        <w:numPr>
          <w:ilvl w:val="0"/>
          <w:numId w:val="2"/>
        </w:numPr>
        <w:spacing w:after="100" w:line="264" w:lineRule="auto"/>
        <w:jc w:val="both"/>
      </w:pPr>
      <w:r>
        <w:rPr>
          <w:b/>
          <w:bCs/>
        </w:rPr>
        <w:t xml:space="preserve">Predictability under fluctuation. </w:t>
      </w:r>
      <w:r>
        <w:t>Realized survival under fluctuating and heatwave regimes will match the nonlinear average of the constant-temperature curve only to the degree that an organism lacks thermal memory. The constant-temperature prediction will under-forecast mortality in proportion to a taxon’s hardening capacity and the size of its inducible reserve.</w:t>
      </w:r>
    </w:p>
    <w:p w14:paraId="34FB93FE" w14:textId="77777777" w:rsidR="00F72D5A" w:rsidRDefault="00000000">
      <w:pPr>
        <w:pStyle w:val="ListParagraph"/>
        <w:numPr>
          <w:ilvl w:val="0"/>
          <w:numId w:val="2"/>
        </w:numPr>
        <w:spacing w:after="100" w:line="264" w:lineRule="auto"/>
        <w:jc w:val="both"/>
      </w:pPr>
      <w:r>
        <w:rPr>
          <w:b/>
          <w:bCs/>
        </w:rPr>
        <w:t xml:space="preserve">Sharpest contrast. </w:t>
      </w:r>
      <w:r>
        <w:t>The taxon with the largest inducible reserve, the intertidal mussel, will show the largest gap between predicted and realized heatwave survival; the polar stenotherm, with the smallest inducible reserve, will show the closest agreement.</w:t>
      </w:r>
    </w:p>
    <w:p w14:paraId="32695529" w14:textId="77777777" w:rsidR="00F72D5A" w:rsidRDefault="00000000">
      <w:pPr>
        <w:pStyle w:val="Heading1"/>
      </w:pPr>
      <w:r>
        <w:t>Methods</w:t>
      </w:r>
    </w:p>
    <w:p w14:paraId="0DF4D03A" w14:textId="77777777" w:rsidR="00F72D5A" w:rsidRDefault="00000000">
      <w:pPr>
        <w:pStyle w:val="Heading2"/>
      </w:pPr>
      <w:r>
        <w:t>Study system</w:t>
      </w:r>
    </w:p>
    <w:p w14:paraId="03E4FBBE" w14:textId="77777777" w:rsidR="00F72D5A" w:rsidRDefault="00000000">
      <w:pPr>
        <w:spacing w:after="140" w:line="264" w:lineRule="auto"/>
        <w:jc w:val="both"/>
      </w:pPr>
      <w:r>
        <w:t xml:space="preserve">The design contrasts three marine ectotherms chosen to span a gradient of environmental thermal variability while holding the analytical framework constant (Table 1). Two of the three are eelpouts in the same family (Zoarcidae), which provides a phylogenetically controlled contrast between a polar stenotherm and a temperate eurytherm; the third, an intertidal bivalve, anchors the high-variability, strong-hardening extreme and tests whether the conclusions generalize across body plans. The host group has a demonstrated track record with both eelpouts, having held the Antarctic eelpout at controlled temperatures up to 9 °C for two months and profiled the transcriptomes and metabolic enzymes of both species (Lannig et al. 2005; Windisch et al. 2012, 2014), and </w:t>
      </w:r>
      <w:r>
        <w:rPr>
          <w:i/>
          <w:iCs/>
        </w:rPr>
        <w:t>Mytilus edulis</w:t>
      </w:r>
      <w:r>
        <w:t xml:space="preserve"> is available locally, so the analytical pipeline has precedent on every taxon. Two contingencies are handled separately in the timeline. The intertidal mussel is the designated scope valve for time and effort: dropping it forfeits the cross-body-plan generalization but preserves the phylogenetically controlled eelpout core. The Antarctic eelpout is the principal supply contingency, since fresh animals depend on expedition schedules; should they prove unavailable, the design falls back to the temperate-eelpout-versus-mussel contrast, which retains the variability and predictability axes while forgoing the polar endpoint and the within-family control. Confirming Antarctic-eelpout availability with the host is a pre-submission priority.</w:t>
      </w:r>
    </w:p>
    <w:p w14:paraId="029A641F" w14:textId="77777777" w:rsidR="00F72D5A" w:rsidRDefault="00000000">
      <w:pPr>
        <w:spacing w:before="60" w:after="60"/>
      </w:pPr>
      <w:r>
        <w:rPr>
          <w:b/>
          <w:bCs/>
        </w:rPr>
        <w:t xml:space="preserve">Table 1. </w:t>
      </w:r>
      <w:r>
        <w:rPr>
          <w:sz w:val="20"/>
          <w:szCs w:val="20"/>
        </w:rPr>
        <w:t>Study taxa and their predicted positions on the variability and stress-response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079"/>
        <w:gridCol w:w="1108"/>
        <w:gridCol w:w="2311"/>
        <w:gridCol w:w="2048"/>
      </w:tblGrid>
      <w:tr w:rsidR="00F72D5A" w14:paraId="22E0C7F6" w14:textId="77777777">
        <w:tblPrEx>
          <w:tblCellMar>
            <w:top w:w="0" w:type="dxa"/>
            <w:bottom w:w="0" w:type="dxa"/>
          </w:tblCellMar>
        </w:tblPrEx>
        <w:trPr>
          <w:tblHeader/>
        </w:trPr>
        <w:tc>
          <w:tcPr>
            <w:tcW w:w="18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77FFA04C" w14:textId="77777777" w:rsidR="00F72D5A" w:rsidRDefault="00000000">
            <w:pPr>
              <w:spacing w:after="20"/>
            </w:pPr>
            <w:r>
              <w:rPr>
                <w:b/>
                <w:bCs/>
                <w:sz w:val="19"/>
                <w:szCs w:val="19"/>
              </w:rPr>
              <w:lastRenderedPageBreak/>
              <w:t>Species</w:t>
            </w:r>
          </w:p>
        </w:tc>
        <w:tc>
          <w:tcPr>
            <w:tcW w:w="2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24B575CE" w14:textId="77777777" w:rsidR="00F72D5A" w:rsidRDefault="00000000">
            <w:pPr>
              <w:spacing w:after="20"/>
            </w:pPr>
            <w:r>
              <w:rPr>
                <w:b/>
                <w:bCs/>
                <w:sz w:val="19"/>
                <w:szCs w:val="19"/>
              </w:rPr>
              <w:t>Lineage and habitat</w:t>
            </w:r>
          </w:p>
        </w:tc>
        <w:tc>
          <w:tcPr>
            <w:tcW w:w="9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6075237F" w14:textId="77777777" w:rsidR="00F72D5A" w:rsidRDefault="00000000">
            <w:pPr>
              <w:spacing w:after="20"/>
            </w:pPr>
            <w:r>
              <w:rPr>
                <w:b/>
                <w:bCs/>
                <w:sz w:val="19"/>
                <w:szCs w:val="19"/>
              </w:rPr>
              <w:t>Thermal variability</w:t>
            </w:r>
          </w:p>
        </w:tc>
        <w:tc>
          <w:tcPr>
            <w:tcW w:w="2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8DF99CE" w14:textId="77777777" w:rsidR="00F72D5A" w:rsidRDefault="00000000">
            <w:pPr>
              <w:spacing w:after="20"/>
            </w:pPr>
            <w:r>
              <w:rPr>
                <w:b/>
                <w:bCs/>
                <w:sz w:val="19"/>
                <w:szCs w:val="19"/>
              </w:rPr>
              <w:t>Predicted margin and stress-response strategy</w:t>
            </w:r>
          </w:p>
        </w:tc>
        <w:tc>
          <w:tcPr>
            <w:tcW w:w="20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51C1F13" w14:textId="77777777" w:rsidR="00F72D5A" w:rsidRDefault="00000000">
            <w:pPr>
              <w:spacing w:after="20"/>
            </w:pPr>
            <w:r>
              <w:rPr>
                <w:b/>
                <w:bCs/>
                <w:sz w:val="19"/>
                <w:szCs w:val="19"/>
              </w:rPr>
              <w:t>Role in design</w:t>
            </w:r>
          </w:p>
        </w:tc>
      </w:tr>
      <w:tr w:rsidR="00F72D5A" w14:paraId="2CA4C96E" w14:textId="77777777">
        <w:tblPrEx>
          <w:tblCellMar>
            <w:top w:w="0" w:type="dxa"/>
            <w:bottom w:w="0" w:type="dxa"/>
          </w:tblCellMar>
        </w:tblPrEx>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63FAB7" w14:textId="77777777" w:rsidR="00F72D5A" w:rsidRDefault="00000000">
            <w:pPr>
              <w:spacing w:after="20"/>
            </w:pPr>
            <w:r>
              <w:rPr>
                <w:sz w:val="19"/>
                <w:szCs w:val="19"/>
              </w:rPr>
              <w:t>Antarctic eelpout (</w:t>
            </w:r>
            <w:r>
              <w:rPr>
                <w:i/>
                <w:iCs/>
                <w:sz w:val="19"/>
                <w:szCs w:val="19"/>
              </w:rPr>
              <w:t>Pachycara brachycephalum</w:t>
            </w:r>
            <w:r>
              <w:rPr>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9609DC" w14:textId="77777777" w:rsidR="00F72D5A" w:rsidRDefault="00000000">
            <w:pPr>
              <w:spacing w:after="20"/>
            </w:pPr>
            <w:r>
              <w:rPr>
                <w:sz w:val="19"/>
                <w:szCs w:val="19"/>
              </w:rPr>
              <w:t>Teleost, Zoarcidae; stable polar water, near-constant ~0 °C</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050C6B" w14:textId="77777777" w:rsidR="00F72D5A" w:rsidRDefault="00000000">
            <w:pPr>
              <w:spacing w:after="20"/>
            </w:pPr>
            <w:r>
              <w:rPr>
                <w:sz w:val="19"/>
                <w:szCs w:val="19"/>
              </w:rPr>
              <w:t>Low</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BA5A5C" w14:textId="77777777" w:rsidR="00F72D5A" w:rsidRDefault="00000000">
            <w:pPr>
              <w:spacing w:after="20"/>
            </w:pPr>
            <w:r>
              <w:rPr>
                <w:sz w:val="19"/>
                <w:szCs w:val="19"/>
              </w:rPr>
              <w:t>Predicted small margin; reduced inducible heat-shock response, near-constitutive (Windisch et al. 2014; cf. Hofmann et al. 2000)</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294E11" w14:textId="77777777" w:rsidR="00F72D5A" w:rsidRDefault="00000000">
            <w:pPr>
              <w:spacing w:after="20"/>
            </w:pPr>
            <w:r>
              <w:rPr>
                <w:sz w:val="19"/>
                <w:szCs w:val="19"/>
              </w:rPr>
              <w:t>Low-variability, low-hardening endpoint; closest agreement between predicted and realized survival expected</w:t>
            </w:r>
          </w:p>
        </w:tc>
      </w:tr>
      <w:tr w:rsidR="00F72D5A" w14:paraId="3C896A2D" w14:textId="77777777">
        <w:tblPrEx>
          <w:tblCellMar>
            <w:top w:w="0" w:type="dxa"/>
            <w:bottom w:w="0" w:type="dxa"/>
          </w:tblCellMar>
        </w:tblPrEx>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D03FFA" w14:textId="77777777" w:rsidR="00F72D5A" w:rsidRDefault="00000000">
            <w:pPr>
              <w:spacing w:after="20"/>
            </w:pPr>
            <w:r>
              <w:rPr>
                <w:sz w:val="19"/>
                <w:szCs w:val="19"/>
              </w:rPr>
              <w:t>Temperate eelpout (</w:t>
            </w:r>
            <w:r>
              <w:rPr>
                <w:i/>
                <w:iCs/>
                <w:sz w:val="19"/>
                <w:szCs w:val="19"/>
              </w:rPr>
              <w:t>Zoarces viviparus</w:t>
            </w:r>
            <w:r>
              <w:rPr>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332A71" w14:textId="77777777" w:rsidR="00F72D5A" w:rsidRDefault="00000000">
            <w:pPr>
              <w:spacing w:after="20"/>
            </w:pPr>
            <w:r>
              <w:rPr>
                <w:sz w:val="19"/>
                <w:szCs w:val="19"/>
              </w:rPr>
              <w:t>Teleost, Zoarcidae; variable North Sea and Wadden Sea</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F01BF9" w14:textId="77777777" w:rsidR="00F72D5A" w:rsidRDefault="00000000">
            <w:pPr>
              <w:spacing w:after="20"/>
            </w:pPr>
            <w:r>
              <w:rPr>
                <w:sz w:val="19"/>
                <w:szCs w:val="19"/>
              </w:rPr>
              <w:t>Medium</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6E0116" w14:textId="77777777" w:rsidR="00F72D5A" w:rsidRDefault="00000000">
            <w:pPr>
              <w:spacing w:after="20"/>
            </w:pPr>
            <w:r>
              <w:rPr>
                <w:sz w:val="19"/>
                <w:szCs w:val="19"/>
              </w:rPr>
              <w:t>Predicted larger margin; inducible stress response present</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2C9CD5" w14:textId="77777777" w:rsidR="00F72D5A" w:rsidRDefault="00000000">
            <w:pPr>
              <w:spacing w:after="20"/>
            </w:pPr>
            <w:r>
              <w:rPr>
                <w:sz w:val="19"/>
                <w:szCs w:val="19"/>
              </w:rPr>
              <w:t xml:space="preserve">OCLTT reference system (Pörtner &amp; Knust 2007); phylogenetic control against </w:t>
            </w:r>
            <w:r>
              <w:rPr>
                <w:i/>
                <w:iCs/>
                <w:sz w:val="19"/>
                <w:szCs w:val="19"/>
              </w:rPr>
              <w:t>Pachycara</w:t>
            </w:r>
          </w:p>
        </w:tc>
      </w:tr>
      <w:tr w:rsidR="00F72D5A" w14:paraId="0502587A" w14:textId="77777777">
        <w:tblPrEx>
          <w:tblCellMar>
            <w:top w:w="0" w:type="dxa"/>
            <w:bottom w:w="0" w:type="dxa"/>
          </w:tblCellMar>
        </w:tblPrEx>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EBB0F2B" w14:textId="77777777" w:rsidR="00F72D5A" w:rsidRDefault="00000000">
            <w:pPr>
              <w:spacing w:after="20"/>
            </w:pPr>
            <w:r>
              <w:rPr>
                <w:sz w:val="19"/>
                <w:szCs w:val="19"/>
              </w:rPr>
              <w:t>Blue mussel (</w:t>
            </w:r>
            <w:r>
              <w:rPr>
                <w:i/>
                <w:iCs/>
                <w:sz w:val="19"/>
                <w:szCs w:val="19"/>
              </w:rPr>
              <w:t>Mytilus edulis</w:t>
            </w:r>
            <w:r>
              <w:rPr>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41E81E" w14:textId="77777777" w:rsidR="00F72D5A" w:rsidRDefault="00000000">
            <w:pPr>
              <w:spacing w:after="20"/>
            </w:pPr>
            <w:r>
              <w:rPr>
                <w:sz w:val="19"/>
                <w:szCs w:val="19"/>
              </w:rPr>
              <w:t>Bivalve mollusc; intertidal, extreme variability with aerial exposure</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72BEB6" w14:textId="77777777" w:rsidR="00F72D5A" w:rsidRDefault="00000000">
            <w:pPr>
              <w:spacing w:after="20"/>
            </w:pPr>
            <w:r>
              <w:rPr>
                <w:sz w:val="19"/>
                <w:szCs w:val="19"/>
              </w:rPr>
              <w:t>High</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0B1099" w14:textId="77777777" w:rsidR="00F72D5A" w:rsidRDefault="00000000">
            <w:pPr>
              <w:spacing w:after="20"/>
            </w:pPr>
            <w:r>
              <w:rPr>
                <w:sz w:val="19"/>
                <w:szCs w:val="19"/>
              </w:rPr>
              <w:t>Strong hardening; large inducible reserve (Buckley et al. 2001)</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88BE88" w14:textId="77777777" w:rsidR="00F72D5A" w:rsidRDefault="00000000">
            <w:pPr>
              <w:spacing w:after="20"/>
            </w:pPr>
            <w:r>
              <w:rPr>
                <w:sz w:val="19"/>
                <w:szCs w:val="19"/>
              </w:rPr>
              <w:t>High-variability, high-hardening endpoint; largest predicted gap between predicted and realized survival; designated scope valve</w:t>
            </w:r>
          </w:p>
        </w:tc>
      </w:tr>
    </w:tbl>
    <w:p w14:paraId="4608F778" w14:textId="77777777" w:rsidR="00F72D5A" w:rsidRDefault="00F72D5A">
      <w:pPr>
        <w:spacing w:before="80" w:after="140"/>
      </w:pPr>
    </w:p>
    <w:p w14:paraId="610A8471" w14:textId="77777777" w:rsidR="00F72D5A" w:rsidRDefault="00000000">
      <w:pPr>
        <w:pStyle w:val="Heading2"/>
      </w:pPr>
      <w:r>
        <w:t>Facilities and team</w:t>
      </w:r>
    </w:p>
    <w:p w14:paraId="6B87D8B0" w14:textId="77777777" w:rsidR="00F72D5A" w:rsidRDefault="00000000">
      <w:pPr>
        <w:spacing w:after="140" w:line="264" w:lineRule="auto"/>
        <w:jc w:val="both"/>
      </w:pPr>
      <w:r>
        <w:t>The Bremerhaven facilities provide an unusually complete pipeline for this question, and the work is distributed across the host group rather than resting on a single instrument or person. Felix Mark’s laboratory provides controlled-aquaria systems and respirometry for aerobic-scope measurement. Christian Bock’s in vivo NMR facility provides non-invasive readout of cardiac function, ventilation, and energy status, including phosphocreatine and intracellular pH by 31P spectroscopy; this is the measurement that allows the cardiac and ventilatory limit to be located directly and compared with the survival limit (Mark, Bock &amp; Pörtner 2002; Sartoris et al. 2003). Gisela Lannig and Magnus Lucassen provide mitochondrial and metabolic assays. Lars Harms provides the genomics and bioinformatics pipeline. The host group’s established experience with these species, including transcriptomic and metabolic profiling of both eelpouts and in vivo NMR on the Antarctic eelpout (Lannig et al. 2005; Windisch et al. 2012, 2014), reduces the methodological risk on the most demanding taxon. Paolo Domenici (CNR) advises on the design and analysis of sublethal performance, the domain in which functional failure is expected to precede lethal failure; should scope allow, a locomotor-performance endpoint in the eelpouts would add an explicit second tier to the realized-margin measurement, distinguishing the temperature at which the animal can no longer perform from the temperature at which it dies.</w:t>
      </w:r>
    </w:p>
    <w:p w14:paraId="5590B885" w14:textId="77777777" w:rsidR="00F72D5A" w:rsidRDefault="00000000">
      <w:pPr>
        <w:pStyle w:val="Heading2"/>
      </w:pPr>
      <w:r>
        <w:t>Physiological assays</w:t>
      </w:r>
    </w:p>
    <w:p w14:paraId="2C03A567" w14:textId="77777777" w:rsidR="00F72D5A" w:rsidRDefault="00000000">
      <w:pPr>
        <w:spacing w:after="140" w:line="264" w:lineRule="auto"/>
        <w:jc w:val="both"/>
      </w:pPr>
      <w:r>
        <w:t>The physiological program proceeds in two stages. First, full thermal performance curves are constructed under constant temperatures, for survival and for sublethal performance, yielding the nominal optimum, the critical thermal maximum, the thermal breadth, and the slope of the super-optimal decline. Second, the same endpoints are measured under ecologically realistic fluctuating and heatwave regimes to give realized survival, which is then compared against the survival predicted by integrating the duration-dependent tolerance landscape, the thermal-death-time model fitted from time-to-failure across several static temperatures (Rezende et al. 2014; Jørgensen et al. 2021), over those same regimes under the additive-injury assumption. Aerobic scope is measured by respirometry, and the cardiac limit is located two ways, by in vivo NMR and by the Arrhenius breakpoint temperature of cardiac performance, in order to test whether either coincides with the survival limit as OCLTT predicts.</w:t>
      </w:r>
    </w:p>
    <w:p w14:paraId="22ED2727" w14:textId="77777777" w:rsidR="00F72D5A" w:rsidRDefault="00000000">
      <w:pPr>
        <w:pStyle w:val="Heading2"/>
      </w:pPr>
      <w:r>
        <w:t>Metabolic assays</w:t>
      </w:r>
    </w:p>
    <w:p w14:paraId="7F03C89F" w14:textId="4A2B506A" w:rsidR="00F72D5A" w:rsidRDefault="00000000">
      <w:pPr>
        <w:spacing w:after="140" w:line="264" w:lineRule="auto"/>
        <w:jc w:val="both"/>
      </w:pPr>
      <w:r>
        <w:t xml:space="preserve">Sublethal mechanism is probed with a panel of metabolic markers that index the energetic state and the onset of failure. The working panel comprises aerobic capacity (citrate synthase and cytochrome c oxidase activities), the cost of ion regulation (Na+/K+-ATPase activity), anaerobic capacity and end-products to mark </w:t>
        <w:lastRenderedPageBreak/>
        <w:t>the transition to anaerobic metabolism (for example L-lactate and succinate), and protein turnover as an index of repair load. Each marker is tied to a specific prediction: aerobic capacity and the anaerobic transition test the oxygen-limitation account, while protein turnover indexes the repair-capacity alternative. These assays follow protocols I have applied to this question in oysters (George et al. 2023) and that the host group has applied to both eelpouts (Lannig et al. 2005).</w:t>
      </w:r>
    </w:p>
    <w:p w14:paraId="4F348A93" w14:textId="77777777" w:rsidR="00F72D5A" w:rsidRDefault="00000000">
      <w:pPr>
        <w:pStyle w:val="Heading2"/>
      </w:pPr>
      <w:r>
        <w:t>Genomics</w:t>
      </w:r>
    </w:p>
    <w:p w14:paraId="2DB50B56" w14:textId="77777777" w:rsidR="00F72D5A" w:rsidRDefault="00000000">
      <w:pPr>
        <w:spacing w:after="140" w:line="264" w:lineRule="auto"/>
        <w:jc w:val="both"/>
      </w:pPr>
      <w:r>
        <w:t>The genomic program uses Tag-Seq across the constant and fluctuating regimes, the survival-plus-transcriptome approach I established in oysters (George et al. 2023). Weighted gene co-expression network analysis isolates modules whose expression tracks the safety margin across temperature and across taxa, a network approach I have applied to co-expression analysis in non-model species (George et al., in preparation). Frontloading is quantified explicitly, following the operational definition of Barshis et al. (2013): within the cellular-stress regulon, a frontloaded profile is one in which constitutive (control) expression is elevated while the stress-induced fold-change is correspondingly reduced, relative to the reactive taxon. The decisive genomic test asks whether the fluctuating-regime transcriptome equals the predicted superposition of the constant-temperature responses, modeled as the residence-time-weighted combination of the constant-temperature expression states, or instead departs from that prediction with emergent, cumulative-damage signatures, for example sustained induction of repair and proteostasis pathways that no single constant temperature elicits. This transcriptome-level test is the molecular analogue of the organism-level question of whether realized survival equals the nonlinear average of the constant-temperature curve.</w:t>
      </w:r>
    </w:p>
    <w:p w14:paraId="1580A53B" w14:textId="77777777" w:rsidR="00F72D5A" w:rsidRDefault="00000000">
      <w:pPr>
        <w:pStyle w:val="Heading1"/>
      </w:pPr>
      <w:r>
        <w:t>Timeline (18 months)</w:t>
      </w:r>
    </w:p>
    <w:p w14:paraId="034F8AC0" w14:textId="77777777" w:rsidR="00F72D5A" w:rsidRDefault="00000000">
      <w:pPr>
        <w:spacing w:after="140" w:line="264" w:lineRule="auto"/>
        <w:jc w:val="both"/>
      </w:pPr>
      <w:r>
        <w:t>Months 1 to 3: acclimation, husbandry, and constant-temperature performance curves for the two most tractable taxa. Months 4 to 9: fluctuating-regime survival trials together with in vivo NMR and respirometry. Months 6 to 14: sequencing and bioinformatics, run in parallel. Months 12 to 18: the predictability analysis and write-up. The third taxon is the explicit scope valve, to be dropped if husbandry or sequencing slips.</w:t>
      </w:r>
    </w:p>
    <w:p w14:paraId="1D8A91B6" w14:textId="77777777" w:rsidR="00F72D5A" w:rsidRDefault="00000000">
      <w:pPr>
        <w:pStyle w:val="Heading1"/>
      </w:pPr>
      <w:r>
        <w:t>Fit statement (for the host statement and cover note)</w:t>
      </w:r>
    </w:p>
    <w:p w14:paraId="6804C22B" w14:textId="77777777" w:rsidR="00F72D5A" w:rsidRDefault="00000000">
      <w:pPr>
        <w:spacing w:after="140" w:line="264" w:lineRule="auto"/>
        <w:jc w:val="both"/>
      </w:pPr>
      <w:r>
        <w:rPr>
          <w:i/>
          <w:iCs/>
        </w:rPr>
        <w:t>This project unites my functional-genomic approach to physiological performance with the Mark group’s oxygen-limitation framework and AWI’s unique in vivo NMR capability, to determine whether the survival safety margin against extreme events is oxygen-set and whether it can be predicted from constant-temperature data. It extends the safety-factor logic of my dissertation from biomechanical attachment to whole-organism thermal survival, establishing an independent line that the Bremerhaven facilities are singularly equipped to enable.</w:t>
      </w:r>
    </w:p>
    <w:p w14:paraId="1999CE4E" w14:textId="77777777" w:rsidR="00F72D5A" w:rsidRDefault="00000000">
      <w:pPr>
        <w:pStyle w:val="Heading1"/>
      </w:pPr>
      <w:r>
        <w:t>References</w:t>
      </w:r>
    </w:p>
    <w:p w14:paraId="3C8C4247" w14:textId="77777777" w:rsidR="00F72D5A" w:rsidRDefault="00000000">
      <w:pPr>
        <w:spacing w:after="80" w:line="252" w:lineRule="auto"/>
        <w:ind w:left="360" w:hanging="360"/>
      </w:pPr>
      <w:r>
        <w:t xml:space="preserve">Barshis, D. J., Ladner, J. T., Oliver, T. A., Seneca, F. O., Traylor-Knowles, N., &amp; Palumbi, S. R. (2013). Genomic basis for coral resilience to climate change. </w:t>
      </w:r>
      <w:r>
        <w:rPr>
          <w:i/>
          <w:iCs/>
        </w:rPr>
        <w:t>PNAS</w:t>
      </w:r>
      <w:r>
        <w:t xml:space="preserve"> 110, 1387-1392.</w:t>
      </w:r>
    </w:p>
    <w:p w14:paraId="6BD7839E" w14:textId="77777777" w:rsidR="00F72D5A" w:rsidRDefault="00000000">
      <w:pPr>
        <w:spacing w:after="80" w:line="252" w:lineRule="auto"/>
        <w:ind w:left="360" w:hanging="360"/>
      </w:pPr>
      <w:r>
        <w:t xml:space="preserve">Bernhardt, J. R., Sunday, J. M., Thompson, P. L., &amp; O’Connor, M. I. (2018). Nonlinear averaging of thermal experience predicts population growth rates in a thermally variable environment. </w:t>
      </w:r>
      <w:r>
        <w:rPr>
          <w:i/>
          <w:iCs/>
        </w:rPr>
        <w:t>Proceedings of the Royal Society B</w:t>
      </w:r>
      <w:r>
        <w:t xml:space="preserve"> 285, 20181076.</w:t>
      </w:r>
    </w:p>
    <w:p w14:paraId="45E13ED5" w14:textId="77777777" w:rsidR="00F72D5A" w:rsidRDefault="00000000">
      <w:pPr>
        <w:spacing w:after="80" w:line="252" w:lineRule="auto"/>
        <w:ind w:left="360" w:hanging="360"/>
      </w:pPr>
      <w:r>
        <w:t xml:space="preserve">Buckley, B. A., Owen, M.-E., &amp; Hofmann, G. E. (2001). Adjusting the thermostat: the threshold induction temperature for the heat-shock response in intertidal mussels (genus </w:t>
      </w:r>
      <w:r>
        <w:rPr>
          <w:i/>
          <w:iCs/>
        </w:rPr>
        <w:t>Mytilus</w:t>
      </w:r>
      <w:r>
        <w:t xml:space="preserve">) changes as a function of thermal history. </w:t>
      </w:r>
      <w:r>
        <w:rPr>
          <w:i/>
          <w:iCs/>
        </w:rPr>
        <w:t>Journal of Experimental Biology</w:t>
      </w:r>
      <w:r>
        <w:t xml:space="preserve"> 204, 3571-3579.</w:t>
      </w:r>
    </w:p>
    <w:p w14:paraId="6D3443B9" w14:textId="77777777" w:rsidR="00F72D5A" w:rsidRDefault="00000000">
      <w:pPr>
        <w:spacing w:after="80" w:line="252" w:lineRule="auto"/>
        <w:ind w:left="360" w:hanging="360"/>
      </w:pPr>
      <w:r>
        <w:lastRenderedPageBreak/>
        <w:t xml:space="preserve">Denny, M. (2017). The fallacy of the average: on the ubiquity, utility and continuing novelty of Jensen’s inequality. </w:t>
      </w:r>
      <w:r>
        <w:rPr>
          <w:i/>
          <w:iCs/>
        </w:rPr>
        <w:t>Journal of Experimental Biology</w:t>
      </w:r>
      <w:r>
        <w:t xml:space="preserve"> 220, 139-146.</w:t>
      </w:r>
    </w:p>
    <w:p w14:paraId="091701F4" w14:textId="77777777" w:rsidR="00F72D5A" w:rsidRDefault="00000000">
      <w:pPr>
        <w:spacing w:after="80" w:line="252" w:lineRule="auto"/>
        <w:ind w:left="360" w:hanging="360"/>
      </w:pPr>
      <w:r>
        <w:t xml:space="preserve">Deutsch, C. A., Tewksbury, J. J., Huey, R. B., Sheldon, K. S., Ghalambor, C. K., Haak, D. C., &amp; Martin, P. R. (2008). Impacts of climate warming on terrestrial ectotherms across latitude. </w:t>
      </w:r>
      <w:r>
        <w:rPr>
          <w:i/>
          <w:iCs/>
        </w:rPr>
        <w:t>PNAS</w:t>
      </w:r>
      <w:r>
        <w:t xml:space="preserve"> 105 (Suppl. 2), 6668-6672.</w:t>
      </w:r>
    </w:p>
    <w:p w14:paraId="52B296ED" w14:textId="77777777" w:rsidR="00F72D5A" w:rsidRDefault="00000000">
      <w:pPr>
        <w:spacing w:after="80" w:line="252" w:lineRule="auto"/>
        <w:ind w:left="360" w:hanging="360"/>
      </w:pPr>
      <w:r>
        <w:t xml:space="preserve">Dowd, W. W., King, F. A., &amp; Denny, M. W. (2015). Thermal variation, thermal extremes and the physiological performance of individuals. </w:t>
      </w:r>
      <w:r>
        <w:rPr>
          <w:i/>
          <w:iCs/>
        </w:rPr>
        <w:t>Journal of Experimental Biology</w:t>
      </w:r>
      <w:r>
        <w:t xml:space="preserve"> 218, 1956-1967.</w:t>
      </w:r>
    </w:p>
    <w:p w14:paraId="2854DF29" w14:textId="77777777" w:rsidR="00F72D5A" w:rsidRDefault="00000000">
      <w:pPr>
        <w:spacing w:after="80" w:line="252" w:lineRule="auto"/>
        <w:ind w:left="360" w:hanging="360"/>
      </w:pPr>
      <w:r>
        <w:t xml:space="preserve">George, M. N., Cattau, O., Middleton, M. A., Lawson, D., Vadopalas, B., Gavery, M., &amp; Roberts, S. B. (2023). Triploid Pacific oysters exhibit stress response dysregulation and elevated mortality following heatwaves. </w:t>
      </w:r>
      <w:r>
        <w:rPr>
          <w:i/>
          <w:iCs/>
        </w:rPr>
        <w:t>Global Change Biology</w:t>
      </w:r>
      <w:r>
        <w:t xml:space="preserve"> 29, 6969-6987.</w:t>
      </w:r>
    </w:p>
    <w:p w14:paraId="5B01F24C" w14:textId="77777777" w:rsidR="00F72D5A" w:rsidRDefault="00000000">
      <w:pPr>
        <w:spacing w:after="80" w:line="252" w:lineRule="auto"/>
        <w:ind w:left="360" w:hanging="360"/>
      </w:pPr>
      <w:r>
        <w:t xml:space="preserve">Gouhier, T. C., &amp; Pillai, P. (2019). Commentary: Nonlinear averaging of thermal experience predicts population growth rates in a thermally variable environment. </w:t>
      </w:r>
      <w:r>
        <w:rPr>
          <w:i/>
          <w:iCs/>
        </w:rPr>
        <w:t>Frontiers in Ecology and Evolution</w:t>
      </w:r>
      <w:r>
        <w:t xml:space="preserve"> 7, 236.</w:t>
      </w:r>
    </w:p>
    <w:p w14:paraId="74B9359B" w14:textId="77777777" w:rsidR="00F72D5A" w:rsidRDefault="00000000">
      <w:pPr>
        <w:spacing w:after="80" w:line="252" w:lineRule="auto"/>
        <w:ind w:left="360" w:hanging="360"/>
      </w:pPr>
      <w:r>
        <w:t xml:space="preserve">Hoffmann, A. A., &amp; Sgrò, C. M. (2011). Climate change and evolutionary adaptation. </w:t>
      </w:r>
      <w:r>
        <w:rPr>
          <w:i/>
          <w:iCs/>
        </w:rPr>
        <w:t>Nature</w:t>
      </w:r>
      <w:r>
        <w:t xml:space="preserve"> 470, 479-485.</w:t>
      </w:r>
    </w:p>
    <w:p w14:paraId="004A8003" w14:textId="77777777" w:rsidR="00F72D5A" w:rsidRDefault="00000000">
      <w:pPr>
        <w:spacing w:after="80" w:line="252" w:lineRule="auto"/>
        <w:ind w:left="360" w:hanging="360"/>
      </w:pPr>
      <w:r>
        <w:t xml:space="preserve">Hofmann, G. E., Buckley, B. A., Airaksinen, S., Keen, J. E., &amp; Somero, G. N. (2000). Heat-shock protein expression is absent in the Antarctic fish </w:t>
      </w:r>
      <w:r>
        <w:rPr>
          <w:i/>
          <w:iCs/>
        </w:rPr>
        <w:t>Trematomus bernacchii</w:t>
      </w:r>
      <w:r>
        <w:t xml:space="preserve">. </w:t>
      </w:r>
      <w:r>
        <w:rPr>
          <w:i/>
          <w:iCs/>
        </w:rPr>
        <w:t>Journal of Experimental Biology</w:t>
      </w:r>
      <w:r>
        <w:t xml:space="preserve"> 203, 2331-2339.</w:t>
      </w:r>
    </w:p>
    <w:p w14:paraId="451D9A94" w14:textId="77777777" w:rsidR="00F72D5A" w:rsidRDefault="00000000">
      <w:pPr>
        <w:spacing w:after="80" w:line="252" w:lineRule="auto"/>
        <w:ind w:left="360" w:hanging="360"/>
      </w:pPr>
      <w:r>
        <w:t xml:space="preserve">Johnson, A. S., &amp; Koehl, M. A. R. (1994). Maintenance of dynamic strain similarity and environmental stress factor in different flow habitats: thallus allometry and material properties of a giant kelp. </w:t>
      </w:r>
      <w:r>
        <w:rPr>
          <w:i/>
          <w:iCs/>
        </w:rPr>
        <w:t>Journal of Experimental Biology</w:t>
      </w:r>
      <w:r>
        <w:t xml:space="preserve"> 195, 381-410.</w:t>
      </w:r>
    </w:p>
    <w:p>
      <w:pPr>
        <w:spacing w:after="80" w:line="252" w:lineRule="auto"/>
        <w:ind w:left="360" w:hanging="360"/>
      </w:pPr>
      <w:r>
        <w:t xml:space="preserve">Jørgensen, L. B., Malte, H., &amp; Overgaard, J. (2021). A unifying model to estimate thermal tolerance limits in ectotherms across static, dynamic and fluctuating exposures to thermal stress. </w:t>
      </w:r>
      <w:r>
        <w:rPr>
          <w:i/>
          <w:iCs/>
        </w:rPr>
        <w:t>Scientific Reports</w:t>
      </w:r>
      <w:r>
        <w:t xml:space="preserve"> 11, 12840.</w:t>
      </w:r>
    </w:p>
    <w:p>
      <w:pPr>
        <w:spacing w:after="80" w:line="252" w:lineRule="auto"/>
        <w:ind w:left="360" w:hanging="360"/>
      </w:pPr>
      <w:r>
        <w:t xml:space="preserve">Jørgensen, L. B., Ørsted, M., Malte, H., Wang, T., &amp; Overgaard, J. (2022). Extreme escalation of heat failure rates in ectotherms with global warming. </w:t>
      </w:r>
      <w:r>
        <w:rPr>
          <w:i/>
          <w:iCs/>
        </w:rPr>
        <w:t>Nature</w:t>
      </w:r>
      <w:r>
        <w:t xml:space="preserve"> 611, 93-98.</w:t>
      </w:r>
    </w:p>
    <w:p>
      <w:pPr>
        <w:spacing w:after="80" w:line="252" w:lineRule="auto"/>
        <w:ind w:left="360" w:hanging="360"/>
      </w:pPr>
      <w:r>
        <w:t xml:space="preserve">Lannig, G., Storch, D., &amp; Pörtner, H.-O. (2005). Aerobic mitochondrial capacities in Antarctic and temperate eelpout (Zoarcidae) subjected to warm versus cold acclimation. </w:t>
      </w:r>
      <w:r>
        <w:rPr>
          <w:i/>
          <w:iCs/>
        </w:rPr>
        <w:t>Polar Biology</w:t>
      </w:r>
      <w:r>
        <w:t xml:space="preserve"> 28, 575-584.</w:t>
      </w:r>
    </w:p>
    <w:p w14:paraId="1BBFEF0B" w14:textId="77777777" w:rsidR="00F72D5A" w:rsidRDefault="00000000">
      <w:pPr>
        <w:spacing w:after="80" w:line="252" w:lineRule="auto"/>
        <w:ind w:left="360" w:hanging="360"/>
      </w:pPr>
      <w:r>
        <w:t xml:space="preserve">Lefevre, S. (2016). Are global warming and ocean acidification conspiring against marine ectotherms? A meta-analysis. </w:t>
      </w:r>
      <w:r>
        <w:rPr>
          <w:i/>
          <w:iCs/>
        </w:rPr>
        <w:t>Conservation Physiology</w:t>
      </w:r>
      <w:r>
        <w:t xml:space="preserve"> 4, cow009.</w:t>
      </w:r>
    </w:p>
    <w:p>
      <w:pPr>
        <w:spacing w:after="80" w:line="252" w:lineRule="auto"/>
        <w:ind w:left="360" w:hanging="360"/>
      </w:pPr>
      <w:r>
        <w:t xml:space="preserve">Mark, F. C., Bock, C., &amp; Pörtner, H.-O. (2002). Oxygen-limited thermal tolerance in Antarctic fish investigated by MRI and 31P-MRS. </w:t>
      </w:r>
      <w:r>
        <w:rPr>
          <w:i/>
          <w:iCs/>
        </w:rPr>
        <w:t>American Journal of Physiology-Regulatory, Integrative and Comparative Physiology</w:t>
      </w:r>
      <w:r>
        <w:t xml:space="preserve"> 283, R1254-R1262.</w:t>
      </w:r>
    </w:p>
    <w:p w14:paraId="2D42419A" w14:textId="77777777" w:rsidR="00F72D5A" w:rsidRDefault="00000000">
      <w:pPr>
        <w:spacing w:after="80" w:line="252" w:lineRule="auto"/>
        <w:ind w:left="360" w:hanging="360"/>
      </w:pPr>
      <w:r>
        <w:t xml:space="preserve">Newcomb, L. A., George, M. N., O’Donnell, M. J., &amp; Carrington, E. (2019). Only as strong as the weakest link: structural analysis of the combined effects of elevated temperature and pCO2 on mussel attachment. </w:t>
      </w:r>
      <w:r>
        <w:rPr>
          <w:i/>
          <w:iCs/>
        </w:rPr>
        <w:t>Conservation Physiology</w:t>
      </w:r>
      <w:r>
        <w:t xml:space="preserve"> 7, coz068.</w:t>
      </w:r>
    </w:p>
    <w:p w14:paraId="61DB8B28" w14:textId="77777777" w:rsidR="00F72D5A" w:rsidRDefault="00000000">
      <w:pPr>
        <w:spacing w:after="80" w:line="252" w:lineRule="auto"/>
        <w:ind w:left="360" w:hanging="360"/>
      </w:pPr>
      <w:r>
        <w:t xml:space="preserve">O’Donnell, M. J., George, M. N., &amp; Carrington, E. (2013). Mussel byssus attachment weakened by ocean acidification. </w:t>
      </w:r>
      <w:r>
        <w:rPr>
          <w:i/>
          <w:iCs/>
        </w:rPr>
        <w:t>Nature Climate Change</w:t>
      </w:r>
      <w:r>
        <w:t xml:space="preserve"> 3, 587-590.</w:t>
      </w:r>
    </w:p>
    <w:p>
      <w:pPr>
        <w:spacing w:after="80" w:line="252" w:lineRule="auto"/>
        <w:ind w:left="360" w:hanging="360"/>
      </w:pPr>
      <w:r>
        <w:t xml:space="preserve">Ørsted, M., Jørgensen, L. B., &amp; Overgaard, J. (2022). Finding the right thermal limit: a framework to reconcile ecological, physiological and methodological aspects of CTmax in ectotherms. </w:t>
      </w:r>
      <w:r>
        <w:rPr>
          <w:i/>
          <w:iCs/>
        </w:rPr>
        <w:t>Journal of Experimental Biology</w:t>
      </w:r>
      <w:r>
        <w:t xml:space="preserve"> 225, jeb244514.</w:t>
      </w:r>
    </w:p>
    <w:p w14:paraId="3E76720C" w14:textId="77777777" w:rsidR="00F72D5A" w:rsidRDefault="00000000">
      <w:pPr>
        <w:spacing w:after="80" w:line="252" w:lineRule="auto"/>
        <w:ind w:left="360" w:hanging="360"/>
      </w:pPr>
      <w:r>
        <w:t xml:space="preserve">Pinsky, M. L., Eikeset, A. M., McCauley, D. J., Payne, J. L., &amp; Sunday, J. M. (2019). Greater vulnerability to warming of marine versus terrestrial ectotherms. </w:t>
      </w:r>
      <w:r>
        <w:rPr>
          <w:i/>
          <w:iCs/>
        </w:rPr>
        <w:t>Nature</w:t>
      </w:r>
      <w:r>
        <w:t xml:space="preserve"> 569, 108-111.</w:t>
      </w:r>
    </w:p>
    <w:p w14:paraId="6101FB24" w14:textId="77777777" w:rsidR="00F72D5A" w:rsidRDefault="00000000">
      <w:pPr>
        <w:spacing w:after="80" w:line="252" w:lineRule="auto"/>
        <w:ind w:left="360" w:hanging="360"/>
      </w:pPr>
      <w:r>
        <w:t xml:space="preserve">Pörtner, H.-O., Bock, C., &amp; Mark, F. C. (2017). Oxygen- and capacity-limited thermal tolerance: bridging ecology and physiology. </w:t>
      </w:r>
      <w:r>
        <w:rPr>
          <w:i/>
          <w:iCs/>
        </w:rPr>
        <w:t>Journal of Experimental Biology</w:t>
      </w:r>
      <w:r>
        <w:t xml:space="preserve"> 220, 2685-2696.</w:t>
      </w:r>
    </w:p>
    <w:p w14:paraId="240C8A8B" w14:textId="77777777" w:rsidR="00F72D5A" w:rsidRDefault="00000000">
      <w:pPr>
        <w:spacing w:after="80" w:line="252" w:lineRule="auto"/>
        <w:ind w:left="360" w:hanging="360"/>
      </w:pPr>
      <w:r>
        <w:t xml:space="preserve">Pörtner, H.-O., &amp; Knust, R. (2007). Climate change affects marine fishes through the oxygen limitation of thermal tolerance. </w:t>
      </w:r>
      <w:r>
        <w:rPr>
          <w:i/>
          <w:iCs/>
        </w:rPr>
        <w:t>Science</w:t>
      </w:r>
      <w:r>
        <w:t xml:space="preserve"> 315, 95-97.</w:t>
      </w:r>
    </w:p>
    <w:p>
      <w:pPr>
        <w:spacing w:after="80" w:line="252" w:lineRule="auto"/>
        <w:ind w:left="360" w:hanging="360"/>
      </w:pPr>
      <w:r>
        <w:t xml:space="preserve">Rezende, E. L., Castañeda, L. E., &amp; Santos, M. (2014). Tolerance landscapes in thermal ecology. </w:t>
      </w:r>
      <w:r>
        <w:rPr>
          <w:i/>
          <w:iCs/>
        </w:rPr>
        <w:t>Functional Ecology</w:t>
      </w:r>
      <w:r>
        <w:t xml:space="preserve"> 28, 799-809.</w:t>
      </w:r>
    </w:p>
    <w:p>
      <w:pPr>
        <w:spacing w:after="80" w:line="252" w:lineRule="auto"/>
        <w:ind w:left="360" w:hanging="360"/>
      </w:pPr>
      <w:r>
        <w:t xml:space="preserve">Sartoris, F. J., Bock, C., &amp; Pörtner, H.-O. (2003). Temperature-dependent pH regulation in eurythermal and stenothermal marine fish: an interspecies comparison using 31P-NMR. </w:t>
      </w:r>
      <w:r>
        <w:rPr>
          <w:i/>
          <w:iCs/>
        </w:rPr>
        <w:t>Journal of Thermal Biology</w:t>
      </w:r>
      <w:r>
        <w:t xml:space="preserve"> 28, 363-371.</w:t>
      </w:r>
    </w:p>
    <w:p w14:paraId="102BB0A5" w14:textId="77777777" w:rsidR="00F72D5A" w:rsidRDefault="00000000">
      <w:pPr>
        <w:spacing w:after="80" w:line="252" w:lineRule="auto"/>
        <w:ind w:left="360" w:hanging="360"/>
      </w:pPr>
      <w:r>
        <w:t xml:space="preserve">Sokolova, I. M. (2013). Energy-limited tolerance to stress as a conceptual framework to integrate the effects of multiple stressors. </w:t>
      </w:r>
      <w:r>
        <w:rPr>
          <w:i/>
          <w:iCs/>
        </w:rPr>
        <w:t>Integrative and Comparative Biology</w:t>
      </w:r>
      <w:r>
        <w:t xml:space="preserve"> 53, 597-608.</w:t>
      </w:r>
    </w:p>
    <w:p w14:paraId="77245B9E" w14:textId="77777777" w:rsidR="00F72D5A" w:rsidRDefault="00000000">
      <w:pPr>
        <w:spacing w:after="80" w:line="252" w:lineRule="auto"/>
        <w:ind w:left="360" w:hanging="360"/>
      </w:pPr>
      <w:r>
        <w:t xml:space="preserve">Somero, G. N. (2010). The physiology of climate change: how potentials for acclimatization and genetic adaptation will determine “winners” and “losers.” </w:t>
      </w:r>
      <w:r>
        <w:rPr>
          <w:i/>
          <w:iCs/>
        </w:rPr>
        <w:t>Journal of Experimental Biology</w:t>
      </w:r>
      <w:r>
        <w:t xml:space="preserve"> 213, 912-920.</w:t>
      </w:r>
    </w:p>
    <w:p w14:paraId="48DBA6A6" w14:textId="77777777" w:rsidR="00F72D5A" w:rsidRDefault="00000000">
      <w:pPr>
        <w:spacing w:after="80" w:line="252" w:lineRule="auto"/>
        <w:ind w:left="360" w:hanging="360"/>
      </w:pPr>
      <w:r>
        <w:t xml:space="preserve">Sunday, J. M., Bates, A. E., Kearney, M. R., Colwell, R. K., Dulvy, N. K., Longino, J. T., &amp; Huey, R. B. (2014). Thermal-safety margins and the necessity of thermoregulatory behavior across latitude and elevation. </w:t>
      </w:r>
      <w:r>
        <w:rPr>
          <w:i/>
          <w:iCs/>
        </w:rPr>
        <w:t>PNAS</w:t>
      </w:r>
      <w:r>
        <w:t xml:space="preserve"> 111, 5610-5615.</w:t>
      </w:r>
    </w:p>
    <w:p w14:paraId="2D94F7A9" w14:textId="77777777" w:rsidR="00F72D5A" w:rsidRDefault="00000000">
      <w:pPr>
        <w:spacing w:after="80" w:line="252" w:lineRule="auto"/>
        <w:ind w:left="360" w:hanging="360"/>
      </w:pPr>
      <w:r>
        <w:t xml:space="preserve">Vasseur, D. A., DeLong, J. P., Gilbert, B., Greig, H. S., Harley, C. D. G., McCann, K. S., Savage, V., Tunney, T. D., &amp; O’Connor, M. I. (2014). Increased temperature variation poses </w:t>
        <w:lastRenderedPageBreak/>
        <w:t xml:space="preserve">a greater risk to species than climate warming. </w:t>
      </w:r>
      <w:r>
        <w:rPr>
          <w:i/>
          <w:iCs/>
        </w:rPr>
        <w:t>Proceedings of the Royal Society B</w:t>
      </w:r>
      <w:r>
        <w:t xml:space="preserve"> 281, 20132612.</w:t>
      </w:r>
    </w:p>
    <w:p>
      <w:pPr>
        <w:spacing w:after="80" w:line="252" w:lineRule="auto"/>
        <w:ind w:left="360" w:hanging="360"/>
      </w:pPr>
      <w:r>
        <w:t xml:space="preserve">Windisch, H. S., Lucassen, M., &amp; Frickenhaus, S. (2012). Evolutionary force in confamiliar marine vertebrates of different temperature realms: adaptive trends in zoarcid fish transcriptomes. </w:t>
      </w:r>
      <w:r>
        <w:rPr>
          <w:i/>
          <w:iCs/>
        </w:rPr>
        <w:t>BMC Genomics</w:t>
      </w:r>
      <w:r>
        <w:t xml:space="preserve"> 13, 549.</w:t>
      </w:r>
    </w:p>
    <w:p>
      <w:pPr>
        <w:spacing w:after="80" w:line="252" w:lineRule="auto"/>
        <w:ind w:left="360" w:hanging="360"/>
      </w:pPr>
      <w:r>
        <w:t xml:space="preserve">Windisch, H. S., Frickenhaus, S., John, U., Knust, R., Pörtner, H.-O., &amp; Lucassen, M. (2014). Stress response or beneficial temperature acclimation: transcriptomic signatures in Antarctic fish (Pachycara brachycephalum). </w:t>
      </w:r>
      <w:r>
        <w:rPr>
          <w:i/>
          <w:iCs/>
        </w:rPr>
        <w:t>Molecular Ecology</w:t>
      </w:r>
      <w:r>
        <w:t xml:space="preserve"> 23, 3469-3482.</w:t>
      </w:r>
    </w:p>
    <w:p w14:paraId="46EDE191" w14:textId="77777777" w:rsidR="00F72D5A" w:rsidRDefault="00000000">
      <w:pPr>
        <w:pStyle w:val="Heading1"/>
      </w:pPr>
      <w:r>
        <w:t>Figure 1 (conceptual model)</w:t>
      </w:r>
    </w:p>
    <w:p w14:paraId="2EF342FB" w14:textId="77777777" w:rsidR="00F72D5A" w:rsidRDefault="00000000">
      <w:pPr>
        <w:shd w:val="clear" w:color="auto" w:fill="F2F2F2"/>
        <w:spacing w:after="100"/>
      </w:pPr>
      <w:r>
        <w:rPr>
          <w:b/>
          <w:bCs/>
          <w:color w:val="888888"/>
        </w:rPr>
        <w:t>[Figure to be generated, held per request]</w:t>
      </w:r>
    </w:p>
    <w:p w14:paraId="455D5FB7" w14:textId="77777777" w:rsidR="00F72D5A" w:rsidRDefault="00000000">
      <w:pPr>
        <w:spacing w:after="140" w:line="264" w:lineRule="auto"/>
        <w:jc w:val="both"/>
      </w:pPr>
      <w:r>
        <w:t>A single asymmetric thermal performance curve, with a gradual rise to the optimum and a steep collapse to the critical thermal maximum. The realized thermal regime is overlaid as a distribution on the temperature axis. Nonlinear averaging shows that the realized survival expectation sits below the value at the mean temperature (the Jensen penalty), and the gap between the critical thermal maximum and the realized thermal load is labeled as the safety margin. A side panel shows two genomic strategies that produce the same nominal limit: a frontloaded transcriptome (high constitutive stress-gene expression, low headroom) and a reactive, inducible one (low baseline, large inducible reach). The figure asserts that these two architectures predict different realized safety margins under fluctuation, because the reactive strategy can lag a fast extreme.</w:t>
      </w:r>
    </w:p>
    <w:sectPr w:rsidR="00F72D5A">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0E15" w14:textId="77777777" w:rsidR="00364554" w:rsidRDefault="00364554">
      <w:r>
        <w:separator/>
      </w:r>
    </w:p>
  </w:endnote>
  <w:endnote w:type="continuationSeparator" w:id="0">
    <w:p w14:paraId="5168CDE2" w14:textId="77777777" w:rsidR="00364554" w:rsidRDefault="00364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07F5" w14:textId="77777777" w:rsidR="00F72D5A" w:rsidRDefault="00000000">
    <w:pPr>
      <w:pBdr>
        <w:top w:val="single" w:sz="4" w:space="4" w:color="BFBFBF"/>
      </w:pBdr>
      <w:tabs>
        <w:tab w:val="right" w:pos="9360"/>
      </w:tabs>
    </w:pPr>
    <w:r>
      <w:rPr>
        <w:color w:val="666666"/>
        <w:sz w:val="16"/>
        <w:szCs w:val="16"/>
      </w:rPr>
      <w:t>Matthew N. George   ·   Humboldt Research Fellowship   ·   P1</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6E479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1239" w14:textId="77777777" w:rsidR="00364554" w:rsidRDefault="00364554">
      <w:r>
        <w:separator/>
      </w:r>
    </w:p>
  </w:footnote>
  <w:footnote w:type="continuationSeparator" w:id="0">
    <w:p w14:paraId="4DF7521B" w14:textId="77777777" w:rsidR="00364554" w:rsidRDefault="00364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2345BA"/>
    <w:rsid w:val="00364554"/>
    <w:rsid w:val="006E4790"/>
    <w:rsid w:val="00F7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5D66"/>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9DB7D5"/>
      </w:pBdr>
      <w:spacing w:before="26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2E4D7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2664</Words>
  <Characters>15187</Characters>
  <Application>Microsoft Office Word</Application>
  <DocSecurity>0</DocSecurity>
  <Lines>126</Lines>
  <Paragraphs>35</Paragraphs>
  <ScaleCrop>false</ScaleCrop>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George</cp:lastModifiedBy>
  <cp:revision>2</cp:revision>
  <dcterms:created xsi:type="dcterms:W3CDTF">2026-06-30T06:39:00Z</dcterms:created>
  <dcterms:modified xsi:type="dcterms:W3CDTF">2026-06-30T07:27:00Z</dcterms:modified>
</cp:coreProperties>
</file>