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0"/>
          <w:szCs w:val="30"/>
        </w:rPr>
        <w:t xml:space="preserve">Humboldt Research Fellowship: Application-Form Responses</w:t>
      </w:r>
    </w:p>
    <w:p>
      <w:pPr>
        <w:spacing w:after="40"/>
      </w:pPr>
      <w:r>
        <w:rPr>
          <w:i/>
          <w:iCs/>
          <w:color w:val="555555"/>
          <w:sz w:val="22"/>
          <w:szCs w:val="22"/>
        </w:rPr>
        <w:t xml:space="preserve">Proposal 1: Architecture of the Realized Thermal Safety Margin</w:t>
      </w:r>
    </w:p>
    <w:p>
      <w:pPr>
        <w:spacing w:after="20"/>
      </w:pPr>
      <w:r>
        <w:rPr>
          <w:color w:val="555555"/>
          <w:sz w:val="20"/>
          <w:szCs w:val="20"/>
        </w:rPr>
        <w:t xml:space="preserve">Applicant: Matthew N. George, PhD   |   Proposed host: Dr Felix C. Mark, Alfred Wegener Institute (AWI), Bremerhaven</w:t>
      </w:r>
    </w:p>
    <w:p>
      <w:pPr>
        <w:pBdr>
          <w:bottom w:val="single" w:color="BBBBBB" w:sz="6" w:space="6"/>
        </w:pBdr>
        <w:spacing w:after="120"/>
      </w:pPr>
      <w:r>
        <w:rPr>
          <w:color w:val="7A7A7A"/>
          <w:sz w:val="18"/>
          <w:szCs w:val="18"/>
        </w:rPr>
        <w:t xml:space="preserve">Drafts for the online application fields (research outline supplied separately). Character counts include spaces.</w:t>
      </w:r>
    </w:p>
    <w:p>
      <w:pPr>
        <w:spacing w:after="60" w:before="220"/>
      </w:pPr>
      <w:r>
        <w:rPr>
          <w:b/>
          <w:bCs/>
          <w:color w:val="1F3A5F"/>
          <w:sz w:val="24"/>
          <w:szCs w:val="24"/>
        </w:rPr>
        <w:t xml:space="preserve">Title of research proposal (200 characters max)</w:t>
      </w:r>
    </w:p>
    <w:p>
      <w:pPr>
        <w:spacing w:after="120" w:line="264"/>
      </w:pPr>
      <w:r>
        <w:rPr>
          <w:sz w:val="22"/>
          <w:szCs w:val="22"/>
        </w:rPr>
        <w:t xml:space="preserve">Genomic and Physiological Architecture of the Realized Thermal Safety Margin in Fluctuating Marine Environments</w:t>
      </w:r>
    </w:p>
    <w:p>
      <w:pPr>
        <w:spacing w:after="60" w:before="20"/>
      </w:pPr>
      <w:r>
        <w:rPr>
          <w:i/>
          <w:iCs/>
          <w:color w:val="7A7A7A"/>
          <w:sz w:val="16"/>
          <w:szCs w:val="16"/>
        </w:rPr>
        <w:t xml:space="preserve">(111 / 200 characters, including spaces)</w:t>
      </w:r>
    </w:p>
    <w:p>
      <w:pPr>
        <w:spacing w:after="60" w:before="220"/>
      </w:pPr>
      <w:r>
        <w:rPr>
          <w:b/>
          <w:bCs/>
          <w:color w:val="1F3A5F"/>
          <w:sz w:val="24"/>
          <w:szCs w:val="24"/>
        </w:rPr>
        <w:t xml:space="preserve">Keywords (up to five)</w:t>
      </w:r>
    </w:p>
    <w:p>
      <w:pPr>
        <w:spacing w:after="120" w:line="264"/>
      </w:pPr>
      <w:r>
        <w:rPr>
          <w:sz w:val="22"/>
          <w:szCs w:val="22"/>
        </w:rPr>
        <w:t xml:space="preserve">thermal safety margin; thermal tolerance landscape (thermal-death-time); cellular stress response and frontloading; eelpout (Zoarcidae) comparative physiology; marine heatwaves and thermal variability</w:t>
      </w:r>
    </w:p>
    <w:p>
      <w:pPr>
        <w:spacing w:after="60" w:before="220"/>
      </w:pPr>
      <w:r>
        <w:rPr>
          <w:b/>
          <w:bCs/>
          <w:color w:val="1F3A5F"/>
          <w:sz w:val="24"/>
          <w:szCs w:val="24"/>
        </w:rPr>
        <w:t xml:space="preserve">Brief summary of the research proposal (2,000 characters max)</w:t>
      </w:r>
    </w:p>
    <w:p>
      <w:pPr>
        <w:spacing w:after="120" w:line="264"/>
      </w:pPr>
      <w:r>
        <w:rPr>
          <w:sz w:val="22"/>
          <w:szCs w:val="22"/>
        </w:rPr>
        <w:t xml:space="preserve">Marine ectotherms already live closer to their upper thermal limits than terrestrial ectotherms, so how much warming they can absorb depends on the thermal safety margin, the distance between the temperature they experience and the temperature that kills them. Margins are usually estimated from acute assays at constant temperature referenced to a mean, yet real environments fluctuate. Nonlinear averaging (Jensen's inequality) and the accumulation of sublethal damage make the realized margin smaller, and more history-dependent, than static metrics imply. I propose that the realized margin is not a fixed species trait but an emergent product of where a species' cellular stress response sits between two architectures, a frontloaded transcriptome that holds protection constitutively and a reactive one that induces it on demand, and of how quickly its environment changes. Using a phylogenetically controlled eelpout pair, the cold, stable Antarctic Pachycara brachycephalum and the seasonally variable temperate Zoarces viviparus, I will (1) test how well a duration-dependent tolerance landscape (the thermal-death-time model) predicts survival under fluctuating and heatwave regimes; (2) resolve whether the survival limit is set by oxygen and capacity limitation, read out through cardiac thermal limits (in vivo NMR and heart rate) and the onset of anaerobic metabolism, or by loss of protein stability and repair; and (3) map the constitutive-versus-inducible architecture by transcriptomics. Together the aims convert the safety margin from a static number into a mechanistic, predictable quantity, and place AWI's polar physiology and NMR capabilities at the center of a framework that links genome, physiology and climate vulnerability.</w:t>
      </w:r>
    </w:p>
    <w:p>
      <w:pPr>
        <w:spacing w:after="60" w:before="20"/>
      </w:pPr>
      <w:r>
        <w:rPr>
          <w:i/>
          <w:iCs/>
          <w:color w:val="7A7A7A"/>
          <w:sz w:val="16"/>
          <w:szCs w:val="16"/>
        </w:rPr>
        <w:t xml:space="preserve">(1752 / 2000 characters, including spaces)</w:t>
      </w:r>
    </w:p>
    <w:p>
      <w:pPr>
        <w:spacing w:after="60" w:before="220"/>
      </w:pPr>
      <w:r>
        <w:rPr>
          <w:b/>
          <w:bCs/>
          <w:color w:val="1F3A5F"/>
          <w:sz w:val="24"/>
          <w:szCs w:val="24"/>
        </w:rPr>
        <w:t xml:space="preserve">14a. Innovative research idea: what is new about your hypothesis / approach / method / theory? (500 characters max)</w:t>
      </w:r>
    </w:p>
    <w:p>
      <w:pPr>
        <w:spacing w:after="120" w:line="264"/>
      </w:pPr>
      <w:r>
        <w:rPr>
          <w:sz w:val="22"/>
          <w:szCs w:val="22"/>
        </w:rPr>
        <w:t xml:space="preserve">The realized thermal safety margin is treated not as a fixed species trait but as an emergent output of two axes: where a species' cellular stress response sits between constitutive frontloading and reactive induction, and how fast its environment fluctuates. Integrating a thermal-death-time tolerance landscape over fluctuating regimes in a phylogenetically controlled eelpout pair turns the margin into a testable prediction, not a static number.</w:t>
      </w:r>
    </w:p>
    <w:p>
      <w:pPr>
        <w:spacing w:after="60" w:before="20"/>
      </w:pPr>
      <w:r>
        <w:rPr>
          <w:i/>
          <w:iCs/>
          <w:color w:val="7A7A7A"/>
          <w:sz w:val="16"/>
          <w:szCs w:val="16"/>
        </w:rPr>
        <w:t xml:space="preserve">(449 / 500 characters, including spaces)</w:t>
      </w:r>
    </w:p>
    <w:p>
      <w:pPr>
        <w:spacing w:after="60" w:before="220"/>
      </w:pPr>
      <w:r>
        <w:rPr>
          <w:b/>
          <w:bCs/>
          <w:color w:val="1F3A5F"/>
          <w:sz w:val="24"/>
          <w:szCs w:val="24"/>
        </w:rPr>
        <w:t xml:space="preserve">14b. Impact of your research on the further development of your own academic profile (2,000 characters max)</w:t>
      </w:r>
    </w:p>
    <w:p>
      <w:pPr>
        <w:spacing w:after="120" w:line="264"/>
      </w:pPr>
      <w:r>
        <w:rPr>
          <w:sz w:val="22"/>
          <w:szCs w:val="22"/>
        </w:rPr>
        <w:t xml:space="preserve">The fellowship would consolidate my move from applied fisheries science back to fundamental research and give my work a mechanistic, comparative core it does not yet have. My training pairs ecophysiology with functional genomics in shellfish and aquaculture species, and I have shown that marine heatwaves dysregulate the cellular stress response and raise mortality (George et al. 2023). At AWI I would add tools I cannot access elsewhere: in vivo NMR of cardiac and metabolic thermal limits, oxygen- and capacity-limited thermal tolerance theory, and polar comparative physiology, working with Felix Mark, Christian Bock, Magnus Lucassen and Gisela Lannig, and with Paolo Domenici on performance. Learning to reason from a duration-dependent tolerance landscape and to connect it to transcriptomic architecture would let me move from documenting stress responses to predicting them. The result would be a distinctive niche at the interface of thermal physiology, genomics and climate forecasting, a European collaborative network, and the preliminary data and methods to anchor a Marie Sklodowska-Curie Postdoctoral Fellowship and, in time, an independent group. Returning to an internationally leading laboratory after time in government science would rebuild my publication record and standing, while letting me bring genomics, large-data analysis and team leadership into the AWI group in a genuinely two-way exchange.</w:t>
      </w:r>
    </w:p>
    <w:p>
      <w:pPr>
        <w:spacing w:after="60" w:before="20"/>
      </w:pPr>
      <w:r>
        <w:rPr>
          <w:i/>
          <w:iCs/>
          <w:color w:val="7A7A7A"/>
          <w:sz w:val="16"/>
          <w:szCs w:val="16"/>
        </w:rPr>
        <w:t xml:space="preserve">(1423 / 2000 characters, including spaces)</w:t>
      </w:r>
    </w:p>
    <w:p>
      <w:pPr>
        <w:spacing w:after="60" w:before="220"/>
      </w:pPr>
      <w:r>
        <w:rPr>
          <w:b/>
          <w:bCs/>
          <w:color w:val="1F3A5F"/>
          <w:sz w:val="24"/>
          <w:szCs w:val="24"/>
        </w:rPr>
        <w:t xml:space="preserve">Voluntarily disclosing personal circumstances (4,000 characters max)</w:t>
      </w:r>
    </w:p>
    <w:p>
      <w:pPr>
        <w:spacing w:after="80"/>
      </w:pPr>
      <w:r>
        <w:rPr>
          <w:i/>
          <w:iCs/>
          <w:color w:val="7A7A7A"/>
          <w:sz w:val="18"/>
          <w:szCs w:val="18"/>
        </w:rPr>
        <w:t xml:space="preserve">Note: per the application, this field is seen only by the selection committee and Head Office; it is not forwarded to hosts or external reviewers.</w:t>
      </w:r>
    </w:p>
    <w:p>
      <w:pPr>
        <w:spacing w:after="120" w:line="264"/>
      </w:pPr>
      <w:r>
        <w:rPr>
          <w:sz w:val="22"/>
          <w:szCs w:val="22"/>
        </w:rPr>
        <w:t xml:space="preserve">I am applying in the experienced researcher line, having completed my doctorate in 2018. My research output slowed, and then paused, for reasons I would like to make visible here so that my record can be read in context.</w:t>
      </w:r>
    </w:p>
    <w:p>
      <w:pPr>
        <w:spacing w:after="120" w:line="264"/>
      </w:pPr>
      <w:r>
        <w:rPr>
          <w:sz w:val="22"/>
          <w:szCs w:val="22"/>
        </w:rPr>
        <w:t xml:space="preserve">Not long after I began independent research, my wife was diagnosed with an autoimmune disorder. Managing it was unpredictable and demanding, and with a young son at home the intensity and mobility that an active research career asks were not compatible with what my family needed from me. In 2023 I made a deliberate choice to step out of a research track and into a stable government science role, an applied fisheries-management position, because it offered predictable hours and the security to be present as a partner and parent while my wife's health came first. That decision cost me research momentum, and it is the main reason my most recent record does not match the trajectory of the years before it.</w:t>
      </w:r>
    </w:p>
    <w:p>
      <w:pPr>
        <w:spacing w:after="120" w:line="264"/>
      </w:pPr>
      <w:r>
        <w:rPr>
          <w:sz w:val="22"/>
          <w:szCs w:val="22"/>
        </w:rPr>
        <w:t xml:space="preserve">Three years on, our situation has changed in the way we hoped. My wife has found a treatment regime that has stabilized her health, and the daily demands of care have eased to the point where I am free to return to the work I trained for. My family is united in wanting this step.</w:t>
      </w:r>
    </w:p>
    <w:p>
      <w:pPr>
        <w:spacing w:after="120" w:line="264"/>
      </w:pPr>
      <w:r>
        <w:rPr>
          <w:sz w:val="22"/>
          <w:szCs w:val="22"/>
        </w:rPr>
        <w:t xml:space="preserve">A move to Germany fits our circumstances rather than straining them. My wife recently accepted a position with a financial technology company based in the European Union that allows her to work remotely; relocating would put her in the same time zone as her employer and colleagues, which is easier than the current arrangement. We are planning a move to the EU regardless, and a fellowship at AWI would let my career and hers advance together rather than in tension.</w:t>
      </w:r>
    </w:p>
    <w:p>
      <w:pPr>
        <w:spacing w:after="120" w:line="264"/>
      </w:pPr>
      <w:r>
        <w:rPr>
          <w:sz w:val="22"/>
          <w:szCs w:val="22"/>
        </w:rPr>
        <w:t xml:space="preserve">I offer this context not as an excuse but so the committee can weigh my record against the conditions that shaped it. Given the chance to return to research, I am confident I can re-establish the productivity and independence that my work through 2023 demonstrates.</w:t>
      </w:r>
    </w:p>
    <w:p>
      <w:pPr>
        <w:spacing w:after="60" w:before="20"/>
      </w:pPr>
      <w:r>
        <w:rPr>
          <w:i/>
          <w:iCs/>
          <w:color w:val="7A7A7A"/>
          <w:sz w:val="16"/>
          <w:szCs w:val="16"/>
        </w:rPr>
        <w:t xml:space="preserve">(1946 / 4000 characters, including spaces)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Humboldt application-form responses (Proposal 1)</dc:title>
  <dc:creator>Matthew N. George</dc:creator>
  <cp:lastModifiedBy>Un-named</cp:lastModifiedBy>
  <cp:revision>1</cp:revision>
  <dcterms:created xsi:type="dcterms:W3CDTF">2026-07-20T05:34:31.297Z</dcterms:created>
  <dcterms:modified xsi:type="dcterms:W3CDTF">2026-07-20T05:34:31.306Z</dcterms:modified>
</cp:coreProperties>
</file>

<file path=docProps/custom.xml><?xml version="1.0" encoding="utf-8"?>
<Properties xmlns="http://schemas.openxmlformats.org/officeDocument/2006/custom-properties" xmlns:vt="http://schemas.openxmlformats.org/officeDocument/2006/docPropsVTypes"/>
</file>