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2F52" w14:textId="225E48B3" w:rsidR="003669A9" w:rsidRDefault="005E578D" w:rsidP="003669A9">
      <w:pPr>
        <w:spacing w:after="140" w:line="264" w:lineRule="auto"/>
        <w:rPr>
          <w:b/>
          <w:bCs/>
          <w:color w:val="000000"/>
          <w:sz w:val="30"/>
          <w:szCs w:val="30"/>
        </w:rPr>
      </w:pPr>
      <w:r>
        <w:rPr>
          <w:b/>
          <w:bCs/>
          <w:color w:val="000000"/>
          <w:sz w:val="30"/>
          <w:szCs w:val="30"/>
        </w:rPr>
        <w:t>Genomic and Physiological Architecture of the Realized Thermal Safety Margin in Fluctuating Marine Environments</w:t>
      </w:r>
    </w:p>
    <w:p w14:paraId="1222ECAF" w14:textId="148DBFFE" w:rsidR="00665592" w:rsidRPr="00665592" w:rsidRDefault="00665592" w:rsidP="00665592">
      <w:pPr>
        <w:spacing w:line="264" w:lineRule="auto"/>
        <w:jc w:val="both"/>
        <w:rPr>
          <w:color w:val="000000"/>
        </w:rPr>
      </w:pPr>
      <w:r>
        <w:rPr>
          <w:color w:val="000000"/>
        </w:rPr>
        <w:t>Applicant: Matthew N. George</w:t>
      </w:r>
    </w:p>
    <w:p w14:paraId="60DE9FC2" w14:textId="1D0B3690" w:rsidR="00665592" w:rsidRPr="00665592" w:rsidRDefault="00665592" w:rsidP="00665592">
      <w:pPr>
        <w:spacing w:line="264" w:lineRule="auto"/>
        <w:jc w:val="both"/>
        <w:rPr>
          <w:color w:val="000000"/>
        </w:rPr>
      </w:pPr>
      <w:r>
        <w:rPr>
          <w:color w:val="000000"/>
        </w:rPr>
        <w:t>Proposed host: Felix Christopher Mark, Alfred Wegener Institute (AWI), Bremerhaven</w:t>
      </w:r>
    </w:p>
    <w:p w14:paraId="19C5326F" w14:textId="5238EA22" w:rsidR="00665592" w:rsidRDefault="00665592" w:rsidP="00665592">
      <w:pPr>
        <w:spacing w:line="264" w:lineRule="auto"/>
        <w:jc w:val="both"/>
        <w:rPr>
          <w:color w:val="000000"/>
        </w:rPr>
      </w:pPr>
      <w:r>
        <w:rPr>
          <w:color w:val="000000"/>
        </w:rPr>
        <w:t>Collaborator: Paolo Domenici, CNR Institute of Biophysics, Italy</w:t>
      </w:r>
    </w:p>
    <w:p w14:paraId="1CDE3B18" w14:textId="77777777" w:rsidR="00665592" w:rsidRPr="00665592" w:rsidRDefault="00665592" w:rsidP="00665592">
      <w:pPr>
        <w:spacing w:line="264" w:lineRule="auto"/>
        <w:jc w:val="both"/>
        <w:rPr>
          <w:color w:val="000000"/>
        </w:rPr>
      </w:pPr>
    </w:p>
    <w:p w14:paraId="737B4C56" w14:textId="6D6D6B95" w:rsidR="00EB0115" w:rsidRDefault="000A1E3E" w:rsidP="00665592">
      <w:pPr>
        <w:spacing w:after="140" w:line="264" w:lineRule="auto"/>
        <w:jc w:val="both"/>
        <w:rPr>
          <w:color w:val="000000"/>
        </w:rPr>
      </w:pPr>
      <w:r>
        <w:rPr>
          <w:b/>
          <w:bCs/>
          <w:color w:val="000000"/>
          <w:sz w:val="28"/>
          <w:szCs w:val="28"/>
        </w:rPr>
        <w:t>Background</w:t>
      </w:r>
    </w:p>
    <w:p w14:paraId="6993BF6D" w14:textId="08405D46" w:rsidR="00466EE0" w:rsidRDefault="00A4210E" w:rsidP="00B67588">
      <w:pPr>
        <w:spacing w:after="140" w:line="264" w:lineRule="auto"/>
        <w:jc w:val="both"/>
        <w:rPr>
          <w:color w:val="000000"/>
        </w:rPr>
      </w:pPr>
      <w:r>
        <w:rPr>
          <w:color w:val="000000"/>
        </w:rPr>
        <w:t xml:space="preserve">Warming is proceeding faster than many populations can adapt, compressing the distance between the temperatures they experience and the limits they can tolerate (Hoffmann &amp; Sgrò 2011). The ramifications of this compression are particularly relevant for marine ectotherms, which already live closer to their thermal maxima than terrestrial ectotherms at comparable latitudes (Pinsky et al. 2019). Thermal tolerance has historically been characterized by fitting performance and survival curves across a range of constant laboratory temperatures and referencing them to a mean field temperature. Mean temperature, however, is a poor proxy for the stress an organism experiences in a variable environment (Denny 2017). </w:t>
      </w:r>
    </w:p>
    <w:p w14:paraId="5FEA24F1" w14:textId="7FA8BE54" w:rsidR="00916E04" w:rsidRDefault="00F76535" w:rsidP="00B67588">
      <w:pPr>
        <w:spacing w:after="140" w:line="264" w:lineRule="auto"/>
        <w:jc w:val="both"/>
        <w:rPr>
          <w:color w:val="000000"/>
        </w:rPr>
      </w:pPr>
      <w:r>
        <w:rPr>
          <w:color w:val="000000"/>
        </w:rPr>
        <w:t xml:space="preserve">Realized survival under fluctuating conditions diverges from survival evaluated at the mean, a discrepancy known as Jensen's inequality (Denny 2017; Dowd et al. 2015). As marine ectotherms approach the high-temperature shoulder of the tolerance curve, thermal variance drives survival below the mean-based prediction, and the resulting gap is the Jensen penalty</w:t>
      </w:r>
      <w:ins w:id="9003" w:author="Claude (proposed)" w:date="2026-07-20T12:00:00Z">
        <w:r>
          <w:rPr>
            <w:color w:val="000000"/>
          </w:rPr>
          <w:t xml:space="preserve"> (Figure 1A)</w:t>
        </w:r>
      </w:ins>
      <w:r>
        <w:rPr>
          <w:color w:val="000000"/>
        </w:rPr>
        <w:t xml:space="preserve">. The distance between an organism's tolerance limit and the temperature it experiences is commonly formalized as a thermal safety margin (Deutsch et al. 2008). A margin built from static metrics, however, carries two distinct vulnerabilities. First, it ignores the Jensen penalty. Second, it overlooks a latent stress load; in a variable environment, repeated sublethal exposures accumulate cellular damage and draw down physiological reserves, so the ‘realized’ margin at any instant depends on recent thermal history and current physiological state rather than temperature alone (Paaijmans et al. 2013; Sokolova 2013). In marine fishes, safety margins estimated from acute tolerance are overstated relative to those that account for the duration of exposure (Molina et al. 2025).</w:t>
      </w:r>
      <w:ins w:id="9004" w:author="Claude (proposed)" w:date="2026-07-20T12:00:00Z">
        <w:r>
          <w:rPr>
            <w:color w:val="000000"/>
          </w:rPr>
          <w:t xml:space="preserve"> Consistent with this, marine heatwaves dysregulate the cellular-stress response and elevate mortality in a marine ectotherm under repeated, ecologically realistic exposure rather than a single acute shock (George et al. 2023).</w:t>
        </w:r>
      </w:ins>
    </w:p>
    <w:p w14:paraId="0B950C91" w14:textId="0BF74D3E" w:rsidR="00EF2B97" w:rsidRPr="00242733" w:rsidRDefault="004554D6" w:rsidP="00242733">
      <w:pPr>
        <w:spacing w:after="140" w:line="264" w:lineRule="auto"/>
        <w:jc w:val="both"/>
        <w:rPr>
          <w:b/>
          <w:bCs/>
        </w:rPr>
      </w:pPr>
      <w:r>
        <w:rPr>
          <w:color w:val="000000"/>
        </w:rPr>
        <w:t xml:space="preserve">The realized thermal safety margin can be addressed with a duration-dependent tolerance landscape, the thermal-death-time (TDT) model, through the use of constant-temperature survival assays that map how the tolerated temperature falls with exposure time (Rezende et al. 2014). Extending the static landscape to a fluctuating regime rests on the assumption that heat injury accumulates additively across exposures above a critical temperature (Jørgensen et al. 2021; Jørgensen et al. 2022; Ørsted et al. 2022) and that sensitivity to prior exposure originates in the cellular-stress response (Buckley et al. 2001), whose regulation spans a single axis between two extremes. One strategy is to pay in advance: a frontloaded transcriptome maintains high constitutive expression of cellular-stress genes, conferring immediate protection but leaving little inducible headroom (Barshis et al. 2013); the same strategy is taken to its extreme in Antarctic notothenioid fishes, which have lost the inducible heat-shock response altogether (Hofmann et al. 2000). The opposite strategy is reactive: a low baseline with a large inducible reserve that is mobilized only when temperature rises. Under slow or moderate fluctuation, the two architectures can appear equivalent, but under a fast extreme, such as a heatwave, the reactive strategy can lag</w:t>
      </w:r>
      <w:ins w:id="9005" w:author="Claude (proposed)" w:date="2026-07-20T12:00:00Z">
        <w:r>
          <w:rPr>
            <w:color w:val="000000"/>
          </w:rPr>
          <w:t xml:space="preserve"> (Figure 1B)</w:t>
        </w:r>
      </w:ins>
      <w:r>
        <w:rPr>
          <w:color w:val="000000"/>
        </w:rPr>
        <w:t xml:space="preserve">. In accordance with this hypothesis, the realized safety margin is not a fixed property of a species but an emergent outcome of where its molecular strategy sits on this axis and how quickly its environment changes. </w:t>
      </w:r>
    </w:p>
    <w:p>
      <w:pPr>
        <w:spacing w:before="80"/>
        <w:jc w:val="center"/>
        <w:rPr>
          <w:ins w:id="9016" w:author="Claude (proposed)" w:date="2026-07-20T12:00:00Z"/>
        </w:rPr>
      </w:pPr>
      <w:ins w:id="9015" w:author="Claude (proposed)" w:date="2026-07-20T12:00:00Z">
        <w:r xmlns:a="http://schemas.openxmlformats.org/drawingml/2006/main" xmlns:pic="http://schemas.openxmlformats.org/drawingml/2006/picture">
          <w:drawing>
            <wp:inline distT="0" distB="0" distL="0" distR="0">
              <wp:extent cx="5760720" cy="2239434"/>
              <wp:effectExtent l="0" t="0" r="0" b="0"/>
              <wp:docPr id="1001" name="Figure1"/>
              <wp:cNvGraphicFramePr>
                <a:graphicFrameLocks noChangeAspect="1"/>
              </wp:cNvGraphicFramePr>
              <a:graphic>
                <a:graphicData uri="http://schemas.openxmlformats.org/drawingml/2006/picture">
                  <pic:pic>
                    <pic:nvPicPr>
                      <pic:cNvPr id="1001" name="figure1.png"/>
                      <pic:cNvPicPr/>
                    </pic:nvPicPr>
                    <pic:blipFill>
                      <a:blip r:embed="rId9001"/>
                      <a:stretch>
                        <a:fillRect/>
                      </a:stretch>
                    </pic:blipFill>
                    <pic:spPr>
                      <a:xfrm>
                        <a:off x="0" y="0"/>
                        <a:ext cx="5760720" cy="2239434"/>
                      </a:xfrm>
                      <a:prstGeom prst="rect">
                        <a:avLst/>
                      </a:prstGeom>
                    </pic:spPr>
                  </pic:pic>
                </a:graphicData>
              </a:graphic>
            </wp:inline>
          </w:drawing>
        </w:r>
      </w:ins>
    </w:p>
    <w:p>
      <w:pPr>
        <w:spacing w:after="160" w:line="240" w:lineRule="auto"/>
        <w:jc w:val="both"/>
        <w:rPr>
          <w:ins w:id="9019" w:author="Claude (proposed)" w:date="2026-07-20T12:00:00Z"/>
        </w:rPr>
      </w:pPr>
      <w:ins w:id="9017" w:author="Claude (proposed)" w:date="2026-07-20T12:00:00Z">
        <w:r>
          <w:rPr>
            <w:b/>
            <w:sz w:val="18"/>
            <w:szCs w:val="18"/>
            <w:color w:val="000000"/>
          </w:rPr>
          <w:t xml:space="preserve">Figure 1. The realized thermal safety margin. </w:t>
        </w:r>
      </w:ins>
      <w:ins w:id="9018" w:author="Claude (proposed)" w:date="2026-07-20T12:00:00Z">
        <w:r>
          <w:rPr>
            <w:sz w:val="18"/>
            <w:szCs w:val="18"/>
            <w:color w:val="000000"/>
          </w:rPr>
          <w:t xml:space="preserve">(A) An asymmetric tolerance curve rises to the optimum (Topt) and collapses to the critical thermal maximum (CTmax); the realized thermal regime is overlaid as a distribution. Because the curve is nonlinear, realized survival E[P(T)] falls below the value at the mean, P(mean T); the gap is the Jensen penalty. The static margin (CTmax minus mean) ignores this penalty and the duration-dependence of tolerance, and so overstates the realized margin. (B) Two genomic strategies defend the same nominal limit differently: a frontloaded (constitutive) transcriptome is protective in advance, whereas a reactive (inducible) one lags a fast extreme and opens a transient protection gap. Figure produced by Figure1_thermal_safety_margin.Rmd.</w:t>
        </w:r>
      </w:ins>
    </w:p>
    <w:p w14:paraId="6543B723" w14:textId="78702DAF" w:rsidR="00F72D5A" w:rsidRPr="00EF2B97" w:rsidRDefault="0025356E" w:rsidP="00EB0115">
      <w:pPr>
        <w:spacing w:after="120" w:line="264" w:lineRule="auto"/>
        <w:jc w:val="both"/>
        <w:rPr>
          <w:b/>
          <w:bCs/>
          <w:color w:val="000000"/>
          <w:sz w:val="28"/>
          <w:szCs w:val="28"/>
        </w:rPr>
      </w:pPr>
      <w:r>
        <w:rPr>
          <w:b/>
          <w:bCs/>
          <w:color w:val="000000"/>
          <w:sz w:val="28"/>
          <w:szCs w:val="28"/>
        </w:rPr>
        <w:lastRenderedPageBreak/>
        <w:t>Specific Aims</w:t>
      </w:r>
    </w:p>
    <w:p w14:paraId="52943D47" w14:textId="3E4F0B59" w:rsidR="009F6FE7" w:rsidRDefault="005641AD">
      <w:pPr>
        <w:spacing w:after="140" w:line="264" w:lineRule="auto"/>
        <w:jc w:val="both"/>
        <w:rPr>
          <w:color w:val="000000"/>
        </w:rPr>
      </w:pPr>
      <w:r>
        <w:rPr>
          <w:color w:val="000000"/>
        </w:rPr>
        <w:t xml:space="preserve">This proposal seeks to explore how the underlying physiological and genomic architecture of marine ectotherms set their realized thermal safety margin within a fluctuating environment. To model this interaction, three marine ectotherms that span a gradient in the variability of their thermal environment will be included in laboratory experiments: the Antarctic eelpout </w:t>
      </w:r>
      <w:r>
        <w:rPr>
          <w:i/>
          <w:iCs/>
          <w:color w:val="000000"/>
        </w:rPr>
        <w:t>Pachycara brachycephalum</w:t>
      </w:r>
      <w:r>
        <w:rPr>
          <w:color w:val="000000"/>
        </w:rPr>
        <w:t xml:space="preserve">, from the cold and thermally stable Southern Ocean</w:t>
      </w:r>
      <w:ins w:id="9001" w:author="Claude (proposed)" w:date="2026-07-20T12:00:00Z">
        <w:r>
          <w:rPr>
            <w:color w:val="000000"/>
          </w:rPr>
          <w:t xml:space="preserve">, where it is a cold-adapted, cold-stenothermal shelf species</w:t>
        </w:r>
      </w:ins>
      <w:r>
        <w:rPr>
          <w:color w:val="000000"/>
        </w:rPr>
        <w:t xml:space="preserve">; the temperate eelpout </w:t>
      </w:r>
      <w:r>
        <w:rPr>
          <w:i/>
          <w:iCs/>
          <w:color w:val="000000"/>
        </w:rPr>
        <w:t>Zoarces viviparus</w:t>
      </w:r>
      <w:r>
        <w:rPr>
          <w:color w:val="000000"/>
        </w:rPr>
        <w:t xml:space="preserve">, from a seasonally fluctuating coastal habitat; and the blue mussel </w:t>
      </w:r>
      <w:r>
        <w:rPr>
          <w:i/>
          <w:iCs/>
          <w:color w:val="000000"/>
        </w:rPr>
        <w:t>Mytilus edulis</w:t>
      </w:r>
      <w:r>
        <w:rPr>
          <w:color w:val="000000"/>
        </w:rPr>
        <w:t xml:space="preserve">, from the intertidal zone, where body temperature swings on a predictable tidal cycle</w:t>
      </w:r>
      <w:ins w:id="9002" w:author="Claude (proposed)" w:date="2026-07-20T12:00:00Z">
        <w:r>
          <w:rPr>
            <w:color w:val="000000"/>
          </w:rPr>
          <w:t xml:space="preserve">, a system I have used to characterize microscale environmental fluctuation and multi-stressor tolerance (George et al. 2019; Newcomb et al. 2019)</w:t>
        </w:r>
      </w:ins>
      <w:r>
        <w:rPr>
          <w:color w:val="000000"/>
        </w:rPr>
        <w:t xml:space="preserve">. Two of the three are eelpouts (Zoarcidae), allowing observed differences between the polar and temperate relatives to be more easily attributable to their environments. Inclusion of a mussel then tests whether whatever pattern emerges in the fishes survives a change in body plan.</w:t>
      </w:r>
    </w:p>
    <w:p w14:paraId="39DE6E7C" w14:textId="6DAB1466" w:rsidR="000754A3" w:rsidRPr="000754A3" w:rsidRDefault="000754A3" w:rsidP="000754A3">
      <w:pPr>
        <w:spacing w:after="140" w:line="264" w:lineRule="auto"/>
        <w:jc w:val="both"/>
        <w:rPr>
          <w:color w:val="000000"/>
        </w:rPr>
      </w:pPr>
      <w:r>
        <w:rPr>
          <w:b/>
          <w:bCs/>
          <w:color w:val="000000"/>
        </w:rPr>
        <w:t>Aim 1: predictability (organism).</w:t>
      </w:r>
      <w:r>
        <w:rPr>
          <w:color w:val="000000"/>
        </w:rPr>
        <w:t xml:space="preserve"> </w:t>
      </w:r>
      <w:r>
        <w:rPr>
          <w:color w:val="000000"/>
          <w:u w:val="single"/>
        </w:rPr>
        <w:t>How well does the constant-temperature tolerance landscape forecast realized survival under fluctuation, and what sets the error?</w:t>
      </w:r>
      <w:r>
        <w:rPr>
          <w:color w:val="000000"/>
        </w:rPr>
        <w:t xml:space="preserve"> Realized survival matches the additive, memoryless prediction only insofar as the organism lacks thermal memory. The match fails in either direction: hardening between exposures raises survival above the prediction, in proportion to the inducible reserve, while cumulative sensitization draws it below.</w:t>
      </w:r>
    </w:p>
    <w:p w14:paraId="25416D5B" w14:textId="55B2D2CB" w:rsidR="000754A3" w:rsidRPr="000754A3" w:rsidRDefault="000754A3" w:rsidP="000754A3">
      <w:pPr>
        <w:spacing w:after="140" w:line="264" w:lineRule="auto"/>
        <w:jc w:val="both"/>
        <w:rPr>
          <w:color w:val="000000"/>
        </w:rPr>
      </w:pPr>
      <w:r>
        <w:rPr>
          <w:b/>
          <w:bCs/>
          <w:color w:val="000000"/>
        </w:rPr>
        <w:t>Aim 2: mechanism (physiology).</w:t>
      </w:r>
      <w:r>
        <w:rPr>
          <w:color w:val="000000"/>
        </w:rPr>
        <w:t xml:space="preserve"> </w:t>
      </w:r>
      <w:r>
        <w:rPr>
          <w:color w:val="000000"/>
          <w:u w:val="single"/>
        </w:rPr>
        <w:t>Is the survival limit oxygen- and capacity-limited, or set by protein stability and repair?</w:t>
      </w:r>
      <w:r>
        <w:rPr>
          <w:color w:val="000000"/>
        </w:rPr>
        <w:t xml:space="preserve"> Within the oxygen- and capacity-limited thermal tolerance (OCLTT; Pörtner &amp; Knust 2007; Pörtner et al. 2017) framework, the survival limit coincides with the temperature of cardiac and ventilatory collapse and the margin tracks aerobic-scope reserve</w:t>
      </w:r>
      <w:ins w:id="9006" w:author="Claude (proposed)" w:date="2026-07-20T12:00:00Z">
        <w:r>
          <w:rPr>
            <w:color w:val="000000"/>
          </w:rPr>
          <w:t xml:space="preserve"> (read out at the cardiac level, since aerobic scope is not reliably obtained in these sedentary fishes)</w:t>
        </w:r>
      </w:ins>
      <w:r>
        <w:rPr>
          <w:color w:val="000000"/>
        </w:rPr>
        <w:t xml:space="preserve">. Alternatively, if protein stability or repair sets the limit, survival fails at a temperature decoupled from the cardiac limit. The adjudication applies to the eelpouts alone; in bivalves, thermal tolerance rests on multiple mechanisms not organized around a single aerobic-scope axis (Götze et al. 2025), so the mussel is followed under Aim 1 rather than tested for oxygen limitation here.</w:t>
      </w:r>
    </w:p>
    <w:p w14:paraId="049B33CD" w14:textId="6F4DD60A" w:rsidR="000754A3" w:rsidRDefault="000754A3" w:rsidP="000754A3">
      <w:pPr>
        <w:spacing w:after="140" w:line="264" w:lineRule="auto"/>
        <w:jc w:val="both"/>
        <w:rPr>
          <w:color w:val="000000"/>
        </w:rPr>
      </w:pPr>
      <w:r>
        <w:rPr>
          <w:b/>
          <w:bCs/>
          <w:color w:val="000000"/>
        </w:rPr>
        <w:t>Aim 3: architecture (genome).</w:t>
      </w:r>
      <w:r>
        <w:rPr>
          <w:color w:val="000000"/>
        </w:rPr>
        <w:t xml:space="preserve"> </w:t>
      </w:r>
      <w:r>
        <w:rPr>
          <w:color w:val="000000"/>
          <w:u w:val="single"/>
        </w:rPr>
        <w:t>Does the realized margin map onto the constitutive-versus-inducible axis, and does architecture track native thermal variability?</w:t>
      </w:r>
      <w:r>
        <w:rPr>
          <w:color w:val="000000"/>
        </w:rPr>
        <w:t xml:space="preserve"> The phylogenetically controlled eelpout pair differs in architecture in proportion to their environmental variability (Windisch et al. 2012; Windisch et al. 2014), and the pattern either generalizes to the mussel or breaks when moving to a sessile invertebrate.</w:t>
      </w:r>
    </w:p>
    <w:p w14:paraId="192D433E" w14:textId="21B70082" w:rsidR="00F72D5A" w:rsidRPr="000754A3" w:rsidRDefault="00A57723" w:rsidP="00EB0115">
      <w:pPr>
        <w:spacing w:after="120" w:line="264" w:lineRule="auto"/>
        <w:jc w:val="both"/>
        <w:rPr>
          <w:b/>
          <w:bCs/>
          <w:color w:val="000000"/>
          <w:sz w:val="28"/>
          <w:szCs w:val="28"/>
        </w:rPr>
      </w:pPr>
      <w:r>
        <w:rPr>
          <w:b/>
          <w:bCs/>
          <w:color w:val="000000"/>
          <w:sz w:val="28"/>
          <w:szCs w:val="28"/>
        </w:rPr>
        <w:t>Methods</w:t>
      </w:r>
    </w:p>
    <w:p w14:paraId="2C84FE53" w14:textId="7C147956" w:rsidR="00F72D5A" w:rsidRPr="00B67588" w:rsidRDefault="00A57723" w:rsidP="0000289B">
      <w:pPr>
        <w:pStyle w:val="Heading2"/>
        <w:spacing w:before="0" w:after="140" w:line="264" w:lineRule="auto"/>
      </w:pPr>
      <w:r>
        <w:t xml:space="preserve">Aim 1: predictability (organism). </w:t>
      </w:r>
      <w:r>
        <w:rPr>
          <w:b w:val="0"/>
          <w:bCs w:val="0"/>
          <w:sz w:val="22"/>
          <w:szCs w:val="22"/>
        </w:rPr>
        <w:t xml:space="preserve">Aim 1 will be addressed in two stages. First, full thermal performance curves will be constructed under constant temperatures, for survival and for sublethal performance, yielding the nominal optimum, the critical thermal maximum, the thermal breadth, and the slope of the super-optimal decline. Second, the same endpoints will be measured under ecologically realistic fluctuating and heatwave regimes to determine realized survival. These empirical data will then be compared against survival predictions modeled under an additive-injury assumption. To generate these predictions, a thermal-death-time model fitted from static time-to-failure data will be integrated over those same dynamic regimes (Rezende et al. 2014; Jørgensen et al. 2021). In the mussel, where cardiorespiratory physiology is not commensurable with the aerobic-scope axis, the approach to the lethal limit is instead tracked non-invasively and continuously through each regime by infrared heartbeat sensors affixed to the exterior of the shell (Burnett et al. 2013).</w:t>
      </w:r>
    </w:p>
    <w:p w14:paraId="55390DD9" w14:textId="4E172784" w:rsidR="00F72D5A" w:rsidRPr="00B67588" w:rsidRDefault="00A57723" w:rsidP="00C04810">
      <w:pPr>
        <w:pStyle w:val="Heading2"/>
        <w:spacing w:line="264" w:lineRule="auto"/>
      </w:pPr>
      <w:r>
        <w:lastRenderedPageBreak/>
        <w:t xml:space="preserve">Aim 2: mechanism (physiology). </w:t>
      </w:r>
      <w:r>
        <w:rPr>
          <w:b w:val="0"/>
          <w:bCs w:val="0"/>
          <w:sz w:val="22"/>
          <w:szCs w:val="22"/>
        </w:rPr>
        <w:t xml:space="preserve">In the eelpouts, </w:t>
      </w:r>
      <w:del w:id="9007" w:author="Claude (proposed)" w:date="2026-07-20T12:00:00Z">
        <w:r>
          <w:rPr>
            <w:b w:val="0"/>
            <w:bCs w:val="0"/>
            <w:sz w:val="22"/>
            <w:szCs w:val="22"/>
          </w:rPr>
          <w:delText xml:space="preserve">aerobic scope will be measured by respirometry</w:delText>
        </w:r>
      </w:del>
      <w:ins w:id="9008" w:author="Claude (proposed)" w:date="2026-07-20T12:00:00Z">
        <w:r>
          <w:rPr>
            <w:b w:val="0"/>
            <w:bCs w:val="0"/>
            <w:sz w:val="22"/>
            <w:szCs w:val="22"/>
          </w:rPr>
          <w:t xml:space="preserve">standard metabolic rate will be measured by intermittent-flow respirometry; because their sedentary habit makes aerobic scope unreliable to obtain in a swim tunnel, the cardiac thermal limit serves as the primary oxygen- and capacity-limitation readout</w:t>
        </w:r>
      </w:ins>
      <w:r>
        <w:rPr>
          <w:b w:val="0"/>
          <w:bCs w:val="0"/>
          <w:sz w:val="22"/>
          <w:szCs w:val="22"/>
        </w:rPr>
        <w:t xml:space="preserve">. Cardiac limit will be determined through in vivo NMR (Mark et al. 2002; Sartoris et al. 2003)</w:t>
      </w:r>
      <w:ins w:id="9009" w:author="Claude (proposed)" w:date="2026-07-20T12:00:00Z">
        <w:r>
          <w:rPr>
            <w:b w:val="0"/>
            <w:bCs w:val="0"/>
            <w:sz w:val="22"/>
            <w:szCs w:val="22"/>
          </w:rPr>
          <w:t xml:space="preserve">, by heart rate (loggers or external ECG),</w:t>
        </w:r>
      </w:ins>
      <w:r>
        <w:rPr>
          <w:b w:val="0"/>
          <w:bCs w:val="0"/>
          <w:sz w:val="22"/>
          <w:szCs w:val="22"/>
        </w:rPr>
        <w:t xml:space="preserve"> and by the Arrhenius breakpoint temperature. Evidence of sublethal damage will be assessed through a panel of metabolic markers that index the energetic state and the onset of failure, including aerobic capacity (citrate synthase and cytochrome c oxidase activities; Lannig et al. 2005), the cost of ion regulation (Na+/K+-ATPase activity), anaerobic capacity and end-products to mark the transition to anaerobic metabolism (for example L-lactate and succinate</w:t>
      </w:r>
      <w:ins w:id="9010" w:author="Claude (proposed)" w:date="2026-07-20T12:00:00Z">
        <w:r>
          <w:rPr>
            <w:b w:val="0"/>
            <w:bCs w:val="0"/>
            <w:sz w:val="22"/>
            <w:szCs w:val="22"/>
          </w:rPr>
          <w:t xml:space="preserve">, resolved by in vivo NMR metabolomics</w:t>
        </w:r>
      </w:ins>
      <w:r>
        <w:rPr>
          <w:b w:val="0"/>
          <w:bCs w:val="0"/>
          <w:sz w:val="22"/>
          <w:szCs w:val="22"/>
        </w:rPr>
        <w:t xml:space="preserve">), and protein turnover rate. Aerobic capacity and the anaerobic transition markers test the oxygen-limitation hypothesis, while protein turnover indexes repair-capacity.</w:t>
      </w:r>
    </w:p>
    <w:p w14:paraId="736FA257" w14:textId="61682CCF" w:rsidR="00F72D5A" w:rsidRPr="00B67588" w:rsidRDefault="00A57723" w:rsidP="003F48B3">
      <w:pPr>
        <w:pStyle w:val="Heading2"/>
        <w:spacing w:line="264" w:lineRule="auto"/>
      </w:pPr>
      <w:r>
        <w:t xml:space="preserve">Aim 3: architecture (genome). </w:t>
      </w:r>
      <w:r>
        <w:rPr>
          <w:b w:val="0"/>
          <w:bCs w:val="0"/>
          <w:sz w:val="22"/>
          <w:szCs w:val="22"/>
        </w:rPr>
        <w:t>Transcriptomic responses at baseline and following treatment exposure will be quantified with 3′ Tag-Seq across all three species. Weighted gene co-expression network analysis (WGCNA) will be used to isolate modules whose expression tracks the safety margin across temperature and taxa. Evidence of frontloading, defined as elevated constitutive (control) expression while the stress-induced fold-change is correspondingly reduced, will be investigated (Barshis et al. 2013). Comparing transcriptomes from constant and fluctuating regimes will further allow for the quantification of how the fluctuating response deviates from a simple additive model; deviation will reveal whether fluctuations cause emergent, cumulative-damage signatures, as evidenced by the sustained induction of repair and proteostasis pathways.</w:t>
      </w:r>
    </w:p>
    <w:p w14:paraId="1CB3E4B6" w14:textId="77777777" w:rsidR="00F72D5A" w:rsidRPr="00B67588" w:rsidRDefault="00A57723">
      <w:pPr>
        <w:pStyle w:val="Heading1"/>
      </w:pPr>
      <w:r>
        <w:t xml:space="preserve">Timeline </w:t>
      </w:r>
      <w:del w:id="9011" w:author="Claude (proposed)" w:date="2026-07-20T12:00:00Z">
        <w:r>
          <w:delText xml:space="preserve">(18 months)</w:delText>
        </w:r>
      </w:del>
      <w:ins w:id="9012" w:author="Claude (proposed)" w:date="2026-07-20T12:00:00Z">
        <w:r>
          <w:t xml:space="preserve">(18-month fellowship with a 12-month extension)</w:t>
        </w:r>
      </w:ins>
    </w:p>
    <w:p w14:paraId="3C59CC65" w14:textId="580C47DF" w:rsidR="00F72D5A" w:rsidRPr="00B67588" w:rsidRDefault="00A57723">
      <w:pPr>
        <w:spacing w:after="140" w:line="264" w:lineRule="auto"/>
        <w:jc w:val="both"/>
        <w:rPr>
          <w:color w:val="000000"/>
        </w:rPr>
      </w:pPr>
      <w:del w:id="9013" w:author="Claude (proposed)" w:date="2026-07-20T12:00:00Z">
        <w:r>
          <w:rPr>
            <w:color w:val="000000"/>
          </w:rPr>
          <w:delText xml:space="preserve">Months 1 to 6: acclimation, husbandry, and constant-temperature performance curves. Months 4 to 9: fluctuating-regime survival trials together with in vivo NMR and respirometry. Months 6 to 14: sequencing and bioinformatics, run in parallel. Months 12 to 18: analysis and publication.</w:delText>
        </w:r>
      </w:del>
      <w:ins w:id="9014" w:author="Claude (proposed)" w:date="2026-07-20T12:00:00Z">
        <w:r>
          <w:rPr>
            <w:color w:val="000000"/>
          </w:rPr>
          <w:t xml:space="preserve">Live-animal experiments are completed within the 18-month fellowship, and samples are banked for molecular analysis in a 12-month extension. Months 1 to 7: acclimation, husbandry, and constant-temperature performance curves. Months 8 to 14: fluctuating-regime survival trials together with in vivo NMR and respirometry. Months 12 to 18: analysis and publication of the survival and physiology results. Months 18 to 30 (extension): metabolomics, metabolic markers, sequencing, and bioinformatics. Months 24 to 30: analysis and publication.</w:t>
        </w:r>
      </w:ins>
    </w:p>
    <w:p>
      <w:pPr>
        <w:pStyle w:val="Heading1"/>
        <w:rPr>
          <w:ins w:id="9033" w:author="Claude (proposed)" w:date="2026-07-20T12:00:00Z"/>
        </w:rPr>
      </w:pPr>
      <w:ins w:id="9032" w:author="Claude (proposed)" w:date="2026-07-20T12:00:00Z">
        <w:r>
          <w:t xml:space="preserve">Independent preparation and host contribution</w:t>
        </w:r>
      </w:ins>
    </w:p>
    <w:p>
      <w:pPr>
        <w:spacing w:after="140" w:line="264" w:lineRule="auto"/>
        <w:jc w:val="both"/>
        <w:rPr>
          <w:ins w:id="9035" w:author="Claude (proposed)" w:date="2026-07-20T12:00:00Z"/>
          <w:color w:val="000000"/>
        </w:rPr>
      </w:pPr>
      <w:ins w:id="9034" w:author="Claude (proposed)" w:date="2026-07-20T12:00:00Z">
        <w:r>
          <w:rPr>
            <w:color w:val="000000"/>
          </w:rPr>
          <w:t xml:space="preserve">I conceived the hypothesis, aims, and design of this outline independently and agreed them with my host in advance. Host contributions comprise access to and sourcing of both eelpout species (Pachycara brachycephalum held in AWI aquaria; Zoarces viviparus obtainable from the North Sea), provision of NMR, respirometry, and molecular-biology infrastructure and consumables, and the recommendation to stage live-animal work and molecular analysis across an 18-month fellowship and a 12-month extension. Assay collaboration is anticipated with Christian Bock (NMR), Magnus Lucassen (molecular biology), and Gisela Lannig (metabolic physiology) at AWI, and with Paolo Domenici (CNR) on performance.</w:t>
        </w:r>
      </w:ins>
    </w:p>
    <w:p w14:paraId="0C0FFC54" w14:textId="77777777" w:rsidR="00F72D5A" w:rsidRPr="00B67588" w:rsidRDefault="00A57723">
      <w:pPr>
        <w:pStyle w:val="Heading1"/>
      </w:pPr>
      <w:r>
        <w:t>References</w:t>
      </w:r>
    </w:p>
    <w:p w14:paraId="5C4FD9E3" w14:textId="77777777" w:rsidR="00F72D5A" w:rsidRPr="00B67588" w:rsidRDefault="00A57723">
      <w:pPr>
        <w:spacing w:after="80" w:line="252" w:lineRule="auto"/>
        <w:ind w:left="360" w:hanging="360"/>
        <w:rPr>
          <w:color w:val="000000"/>
        </w:rPr>
      </w:pPr>
      <w:r>
        <w:rPr>
          <w:color w:val="000000"/>
        </w:rPr>
        <w:t xml:space="preserve">Barshis, D. J., Ladner, J. T., Oliver, T. A., Seneca, F. O., Traylor-Knowles, N., &amp; Palumbi, S. R. (2013). Genomic basis for coral resilience to climate change. </w:t>
      </w:r>
      <w:r>
        <w:rPr>
          <w:i/>
          <w:iCs/>
          <w:color w:val="000000"/>
        </w:rPr>
        <w:t>PNAS</w:t>
      </w:r>
      <w:r>
        <w:rPr>
          <w:color w:val="000000"/>
        </w:rPr>
        <w:t xml:space="preserve"> 110, 1387-1392.</w:t>
      </w:r>
    </w:p>
    <w:p w14:paraId="464F999E" w14:textId="77777777" w:rsidR="00F72D5A" w:rsidRPr="00B67588" w:rsidRDefault="00A57723">
      <w:pPr>
        <w:spacing w:after="80" w:line="252" w:lineRule="auto"/>
        <w:ind w:left="360" w:hanging="360"/>
        <w:rPr>
          <w:color w:val="000000"/>
        </w:rPr>
      </w:pPr>
      <w:r>
        <w:rPr>
          <w:color w:val="000000"/>
        </w:rPr>
        <w:t xml:space="preserve">Buckley, B. A., Owen, M.-E., &amp; Hofmann, G. E. (2001). Adjusting the thermostat: the threshold induction temperature for the heat-shock response in intertidal mussels (genus </w:t>
      </w:r>
      <w:r>
        <w:rPr>
          <w:i/>
          <w:iCs/>
          <w:color w:val="000000"/>
        </w:rPr>
        <w:t>Mytilus</w:t>
      </w:r>
      <w:r>
        <w:rPr>
          <w:color w:val="000000"/>
        </w:rPr>
        <w:t xml:space="preserve">) changes as a function of thermal history. </w:t>
      </w:r>
      <w:r>
        <w:rPr>
          <w:i/>
          <w:iCs/>
          <w:color w:val="000000"/>
        </w:rPr>
        <w:t>Journal of Experimental Biology</w:t>
      </w:r>
      <w:r>
        <w:rPr>
          <w:color w:val="000000"/>
        </w:rPr>
        <w:t xml:space="preserve"> 204, 3571-3579.</w:t>
      </w:r>
    </w:p>
    <w:p w14:paraId="3CD8C1CC" w14:textId="77777777" w:rsidR="009F6FE7" w:rsidRDefault="00A57723">
      <w:pPr>
        <w:spacing w:after="80" w:line="252" w:lineRule="auto"/>
        <w:ind w:left="360" w:hanging="360"/>
        <w:rPr>
          <w:color w:val="000000"/>
        </w:rPr>
      </w:pPr>
      <w:r>
        <w:rPr>
          <w:color w:val="000000"/>
        </w:rPr>
        <w:t xml:space="preserve">Burnett, N. P., Seabra, R., de Pirro, M., Wethey, D. S., Woodin, S. A., Helmuth, B., &amp; Lima, F. P. (2013). An improved noninvasive method for measuring heartbeat of intertidal animals. </w:t>
      </w:r>
      <w:r>
        <w:rPr>
          <w:i/>
          <w:iCs/>
          <w:color w:val="000000"/>
        </w:rPr>
        <w:t>Limnology and Oceanography: Methods</w:t>
      </w:r>
      <w:r>
        <w:rPr>
          <w:color w:val="000000"/>
        </w:rPr>
        <w:t xml:space="preserve"> 11, 91-100.</w:t>
      </w:r>
    </w:p>
    <w:p w14:paraId="76C5242D" w14:textId="77777777" w:rsidR="00F72D5A" w:rsidRPr="00B67588" w:rsidRDefault="00A57723">
      <w:pPr>
        <w:spacing w:after="80" w:line="252" w:lineRule="auto"/>
        <w:ind w:left="360" w:hanging="360"/>
        <w:rPr>
          <w:color w:val="000000"/>
        </w:rPr>
      </w:pPr>
      <w:r>
        <w:rPr>
          <w:color w:val="000000"/>
        </w:rPr>
        <w:t xml:space="preserve">Denny, M. (2017). The fallacy of the average: on the ubiquity, utility and continuing novelty of Jensen’s inequality. </w:t>
      </w:r>
      <w:r>
        <w:rPr>
          <w:i/>
          <w:iCs/>
          <w:color w:val="000000"/>
        </w:rPr>
        <w:t>Journal of Experimental Biology</w:t>
      </w:r>
      <w:r>
        <w:rPr>
          <w:color w:val="000000"/>
        </w:rPr>
        <w:t xml:space="preserve"> 220, 139-146.</w:t>
      </w:r>
    </w:p>
    <w:p w14:paraId="0409D421" w14:textId="77777777" w:rsidR="00F72D5A" w:rsidRPr="00B67588" w:rsidRDefault="00A57723">
      <w:pPr>
        <w:spacing w:after="80" w:line="252" w:lineRule="auto"/>
        <w:ind w:left="360" w:hanging="360"/>
        <w:rPr>
          <w:color w:val="000000"/>
        </w:rPr>
      </w:pPr>
      <w:r>
        <w:rPr>
          <w:color w:val="000000"/>
        </w:rPr>
        <w:t xml:space="preserve">Deutsch, C. A., Tewksbury, J. J., Huey, R. B., Sheldon, K. S., Ghalambor, C. K., Haak, D. C., &amp; Martin, P. R. (2008). Impacts of climate warming on terrestrial ectotherms across latitude. </w:t>
      </w:r>
      <w:r>
        <w:rPr>
          <w:i/>
          <w:iCs/>
          <w:color w:val="000000"/>
        </w:rPr>
        <w:t>PNAS</w:t>
      </w:r>
      <w:r>
        <w:rPr>
          <w:color w:val="000000"/>
        </w:rPr>
        <w:t xml:space="preserve"> 105 (Suppl. 2), 6668-6672.</w:t>
      </w:r>
    </w:p>
    <w:p w14:paraId="081B9A2F" w14:textId="77777777" w:rsidR="00F72D5A" w:rsidRPr="00B67588" w:rsidRDefault="00A57723">
      <w:pPr>
        <w:spacing w:after="80" w:line="252" w:lineRule="auto"/>
        <w:ind w:left="360" w:hanging="360"/>
        <w:rPr>
          <w:color w:val="000000"/>
        </w:rPr>
      </w:pPr>
      <w:r>
        <w:rPr>
          <w:color w:val="000000"/>
        </w:rPr>
        <w:t xml:space="preserve">Dowd, W. W., King, F. A., &amp; Denny, M. W. (2015). Thermal variation, thermal extremes and the physiological performance of individuals. </w:t>
      </w:r>
      <w:r>
        <w:rPr>
          <w:i/>
          <w:iCs/>
          <w:color w:val="000000"/>
        </w:rPr>
        <w:t>Journal of Experimental Biology</w:t>
      </w:r>
      <w:r>
        <w:rPr>
          <w:color w:val="000000"/>
        </w:rPr>
        <w:t xml:space="preserve"> 218, 1956-1967.</w:t>
      </w:r>
    </w:p>
    <w:p>
      <w:pPr>
        <w:spacing w:after="80" w:line="252" w:lineRule="auto"/>
        <w:ind w:left="360" w:hanging="360"/>
        <w:rPr>
          <w:ins w:id="9023" w:author="Claude (proposed)" w:date="2026-07-20T12:00:00Z"/>
          <w:color w:val="000000"/>
        </w:rPr>
      </w:pPr>
      <w:ins w:id="9020" w:author="Claude (proposed)" w:date="2026-07-20T12:00:00Z">
        <w:r>
          <w:rPr>
            <w:color w:val="000000"/>
          </w:rPr>
          <w:t xml:space="preserve">George, M. N., Andino, J., Huie, J., &amp; Carrington, E. (2019). Microscale pH and dissolved oxygen fluctuations within mussel aggregations and their implications for mussel attachment and raft aquaculture. </w:t>
        </w:r>
      </w:ins>
      <w:ins w:id="9021" w:author="Claude (proposed)" w:date="2026-07-20T12:00:00Z">
        <w:r>
          <w:rPr>
            <w:i/>
            <w:iCs/>
            <w:color w:val="000000"/>
          </w:rPr>
          <w:t xml:space="preserve">Journal of Shellfish Research</w:t>
        </w:r>
      </w:ins>
      <w:ins w:id="9022" w:author="Claude (proposed)" w:date="2026-07-20T12:00:00Z">
        <w:r>
          <w:rPr>
            <w:color w:val="000000"/>
          </w:rPr>
          <w:t xml:space="preserve"> 38, 795-809.</w:t>
        </w:r>
      </w:ins>
    </w:p>
    <w:p>
      <w:pPr>
        <w:spacing w:after="80" w:line="252" w:lineRule="auto"/>
        <w:ind w:left="360" w:hanging="360"/>
        <w:rPr>
          <w:ins w:id="9027" w:author="Claude (proposed)" w:date="2026-07-20T12:00:00Z"/>
          <w:color w:val="000000"/>
        </w:rPr>
      </w:pPr>
      <w:ins w:id="9024" w:author="Claude (proposed)" w:date="2026-07-20T12:00:00Z">
        <w:r>
          <w:rPr>
            <w:color w:val="000000"/>
          </w:rPr>
          <w:t xml:space="preserve">George, M. N., Cattau, O., Middleton, M. A., Lawson, D., Vadopalas, B., Gavery, M., &amp; Roberts, S. B. (2023). Triploid Pacific oysters exhibit stress response dysregulation and elevated mortality following heatwaves. </w:t>
        </w:r>
      </w:ins>
      <w:ins w:id="9025" w:author="Claude (proposed)" w:date="2026-07-20T12:00:00Z">
        <w:r>
          <w:rPr>
            <w:i/>
            <w:iCs/>
            <w:color w:val="000000"/>
          </w:rPr>
          <w:t xml:space="preserve">Global Change Biology</w:t>
        </w:r>
      </w:ins>
      <w:ins w:id="9026" w:author="Claude (proposed)" w:date="2026-07-20T12:00:00Z">
        <w:r>
          <w:rPr>
            <w:color w:val="000000"/>
          </w:rPr>
          <w:t xml:space="preserve"> 29, 6969-6987.</w:t>
        </w:r>
      </w:ins>
    </w:p>
    <w:p w14:paraId="0A1B2C3D" w14:textId="77777777" w:rsidR="00F72D5A" w:rsidRPr="00B67588" w:rsidRDefault="00A57723">
      <w:pPr>
        <w:spacing w:after="80" w:line="252" w:lineRule="auto"/>
        <w:ind w:left="360" w:hanging="360"/>
        <w:rPr>
          <w:color w:val="000000"/>
        </w:rPr>
      </w:pPr>
      <w:r>
        <w:rPr>
          <w:color w:val="000000"/>
        </w:rPr>
        <w:t xml:space="preserve">Götze, S., Eymann, C., Reddin, C. J., Lannig, G., Bock, C., &amp; Pörtner, H.-O. (2025). Combined climate stressors constrain various mechanisms for thermal tolerance in the scallop </w:t>
      </w:r>
      <w:r>
        <w:rPr>
          <w:i/>
          <w:iCs/>
          <w:color w:val="000000"/>
        </w:rPr>
        <w:t>Pecten maximus</w:t>
      </w:r>
      <w:r>
        <w:rPr>
          <w:color w:val="000000"/>
        </w:rPr>
        <w:t xml:space="preserve">. </w:t>
      </w:r>
      <w:r>
        <w:rPr>
          <w:i/>
          <w:iCs/>
          <w:color w:val="000000"/>
        </w:rPr>
        <w:t>Journal of Experimental Biology</w:t>
      </w:r>
      <w:r>
        <w:rPr>
          <w:color w:val="000000"/>
        </w:rPr>
        <w:t xml:space="preserve"> 228, jeb250291.</w:t>
      </w:r>
    </w:p>
    <w:p w14:paraId="3B619990" w14:textId="77777777" w:rsidR="00F72D5A" w:rsidRPr="00B67588" w:rsidRDefault="00A57723">
      <w:pPr>
        <w:spacing w:after="80" w:line="252" w:lineRule="auto"/>
        <w:ind w:left="360" w:hanging="360"/>
        <w:rPr>
          <w:color w:val="000000"/>
        </w:rPr>
      </w:pPr>
      <w:r>
        <w:rPr>
          <w:color w:val="000000"/>
        </w:rPr>
        <w:lastRenderedPageBreak/>
        <w:t xml:space="preserve">Hoffmann, A. A., &amp; Sgrò, C. M. (2011). Climate change and evolutionary adaptation. </w:t>
      </w:r>
      <w:r>
        <w:rPr>
          <w:i/>
          <w:iCs/>
          <w:color w:val="000000"/>
        </w:rPr>
        <w:t>Nature</w:t>
      </w:r>
      <w:r>
        <w:rPr>
          <w:color w:val="000000"/>
        </w:rPr>
        <w:t xml:space="preserve"> 470, 479-485.</w:t>
      </w:r>
    </w:p>
    <w:p w14:paraId="2A4CEA94" w14:textId="77777777" w:rsidR="00F72D5A" w:rsidRPr="00B67588" w:rsidRDefault="00A57723">
      <w:pPr>
        <w:spacing w:after="80" w:line="252" w:lineRule="auto"/>
        <w:ind w:left="360" w:hanging="360"/>
        <w:rPr>
          <w:color w:val="000000"/>
        </w:rPr>
      </w:pPr>
      <w:r>
        <w:rPr>
          <w:color w:val="000000"/>
        </w:rPr>
        <w:t xml:space="preserve">Hofmann, G. E., Buckley, B. A., Airaksinen, S., Keen, J. E., &amp; Somero, G. N. (2000). Heat-shock protein expression is absent in the Antarctic fish </w:t>
      </w:r>
      <w:r>
        <w:rPr>
          <w:i/>
          <w:iCs/>
          <w:color w:val="000000"/>
        </w:rPr>
        <w:t>Trematomus bernacchii</w:t>
      </w:r>
      <w:r>
        <w:rPr>
          <w:color w:val="000000"/>
        </w:rPr>
        <w:t xml:space="preserve">. </w:t>
      </w:r>
      <w:r>
        <w:rPr>
          <w:i/>
          <w:iCs/>
          <w:color w:val="000000"/>
        </w:rPr>
        <w:t>Journal of Experimental Biology</w:t>
      </w:r>
      <w:r>
        <w:rPr>
          <w:color w:val="000000"/>
        </w:rPr>
        <w:t xml:space="preserve"> 203, 2331-2339.</w:t>
      </w:r>
    </w:p>
    <w:p w14:paraId="3DF39DA8" w14:textId="77777777" w:rsidR="00CE3FC5" w:rsidRPr="00B67588" w:rsidRDefault="00A57723">
      <w:pPr>
        <w:spacing w:after="80" w:line="252" w:lineRule="auto"/>
        <w:ind w:left="360" w:hanging="360"/>
        <w:rPr>
          <w:color w:val="000000"/>
        </w:rPr>
      </w:pPr>
      <w:r>
        <w:rPr>
          <w:color w:val="000000"/>
        </w:rPr>
        <w:t xml:space="preserve">Jørgensen, L. B., Malte, H., &amp; Overgaard, J. (2021). A unifying model to estimate thermal tolerance limits in ectotherms across static, dynamic and fluctuating exposures to thermal stress. </w:t>
      </w:r>
      <w:r>
        <w:rPr>
          <w:i/>
          <w:iCs/>
          <w:color w:val="000000"/>
        </w:rPr>
        <w:t>Scientific Reports</w:t>
      </w:r>
      <w:r>
        <w:rPr>
          <w:color w:val="000000"/>
        </w:rPr>
        <w:t xml:space="preserve"> 11, 12840.</w:t>
      </w:r>
    </w:p>
    <w:p w14:paraId="45F3FD4A" w14:textId="77777777" w:rsidR="00CE3FC5" w:rsidRPr="00B67588" w:rsidRDefault="00A57723">
      <w:pPr>
        <w:spacing w:after="80" w:line="252" w:lineRule="auto"/>
        <w:ind w:left="360" w:hanging="360"/>
        <w:rPr>
          <w:color w:val="000000"/>
        </w:rPr>
      </w:pPr>
      <w:r>
        <w:rPr>
          <w:color w:val="000000"/>
        </w:rPr>
        <w:t xml:space="preserve">Jørgensen, L. B., Ørsted, M., Malte, H., Wang, T., &amp; Overgaard, J. (2022). Extreme escalation of heat failure rates in ectotherms with global warming. </w:t>
      </w:r>
      <w:r>
        <w:rPr>
          <w:i/>
          <w:iCs/>
          <w:color w:val="000000"/>
        </w:rPr>
        <w:t>Nature</w:t>
      </w:r>
      <w:r>
        <w:rPr>
          <w:color w:val="000000"/>
        </w:rPr>
        <w:t xml:space="preserve"> 611, 93-98.</w:t>
      </w:r>
    </w:p>
    <w:p w14:paraId="3C48CFC2" w14:textId="77777777" w:rsidR="00CE3FC5" w:rsidRPr="00B67588" w:rsidRDefault="00A57723">
      <w:pPr>
        <w:spacing w:after="80" w:line="252" w:lineRule="auto"/>
        <w:ind w:left="360" w:hanging="360"/>
        <w:rPr>
          <w:color w:val="000000"/>
        </w:rPr>
      </w:pPr>
      <w:r>
        <w:rPr>
          <w:color w:val="000000"/>
        </w:rPr>
        <w:t xml:space="preserve">Lannig, G., Storch, D., &amp; Pörtner, H.-O. (2005). Aerobic mitochondrial capacities in Antarctic and temperate eelpout (Zoarcidae) subjected to warm versus cold acclimation. </w:t>
      </w:r>
      <w:r>
        <w:rPr>
          <w:i/>
          <w:iCs/>
          <w:color w:val="000000"/>
        </w:rPr>
        <w:t>Polar Biology</w:t>
      </w:r>
      <w:r>
        <w:rPr>
          <w:color w:val="000000"/>
        </w:rPr>
        <w:t xml:space="preserve"> 28, 575-584.</w:t>
      </w:r>
    </w:p>
    <w:p w14:paraId="373710AC" w14:textId="77777777" w:rsidR="00CE3FC5" w:rsidRPr="00B67588" w:rsidRDefault="00A57723">
      <w:pPr>
        <w:spacing w:after="80" w:line="252" w:lineRule="auto"/>
        <w:ind w:left="360" w:hanging="360"/>
        <w:rPr>
          <w:color w:val="000000"/>
        </w:rPr>
      </w:pPr>
      <w:r>
        <w:rPr>
          <w:color w:val="000000"/>
        </w:rPr>
        <w:t xml:space="preserve">Mark, F. C., Bock, C., &amp; Pörtner, H.-O. (2002). Oxygen-limited thermal tolerance in Antarctic fish investigated by MRI and 31P-MRS. </w:t>
      </w:r>
      <w:r>
        <w:rPr>
          <w:i/>
          <w:iCs/>
          <w:color w:val="000000"/>
        </w:rPr>
        <w:t>American Journal of Physiology-Regulatory, Integrative and Comparative Physiology</w:t>
      </w:r>
      <w:r>
        <w:rPr>
          <w:color w:val="000000"/>
        </w:rPr>
        <w:t xml:space="preserve"> 283, R1254-R1262.</w:t>
      </w:r>
    </w:p>
    <w:p w14:paraId="628F7504" w14:textId="77777777" w:rsidR="009F6FE7" w:rsidRDefault="00A57723">
      <w:pPr>
        <w:spacing w:after="80" w:line="252" w:lineRule="auto"/>
        <w:ind w:left="360" w:hanging="360"/>
        <w:rPr>
          <w:color w:val="000000"/>
        </w:rPr>
      </w:pPr>
      <w:r>
        <w:rPr>
          <w:color w:val="000000"/>
        </w:rPr>
        <w:t xml:space="preserve">Molina, A. N., García-Huidobro, M. R., Rezende, E. L., &amp; Carter, M. J. (2025). Chronic heat tolerance reveals overestimated thermal safety margins and increased vulnerability in marine fish populations. </w:t>
      </w:r>
      <w:r>
        <w:rPr>
          <w:i/>
          <w:iCs/>
          <w:color w:val="000000"/>
        </w:rPr>
        <w:t>Ecology Letters</w:t>
      </w:r>
      <w:r>
        <w:rPr>
          <w:color w:val="000000"/>
        </w:rPr>
        <w:t xml:space="preserve"> 28, e70165.</w:t>
      </w:r>
    </w:p>
    <w:p>
      <w:pPr>
        <w:spacing w:after="80" w:line="252" w:lineRule="auto"/>
        <w:ind w:left="360" w:hanging="360"/>
        <w:rPr>
          <w:ins w:id="9031" w:author="Claude (proposed)" w:date="2026-07-20T12:00:00Z"/>
          <w:color w:val="000000"/>
        </w:rPr>
      </w:pPr>
      <w:ins w:id="9028" w:author="Claude (proposed)" w:date="2026-07-20T12:00:00Z">
        <w:r>
          <w:rPr>
            <w:color w:val="000000"/>
          </w:rPr>
          <w:t xml:space="preserve">Newcomb, L. A., George, M. N., O'Donnell, M. J., &amp; Carrington, E. (2019). Only as strong as the weakest link: structural analysis of the combined effects of elevated temperature and pCO2 on mussel attachment. </w:t>
        </w:r>
      </w:ins>
      <w:ins w:id="9029" w:author="Claude (proposed)" w:date="2026-07-20T12:00:00Z">
        <w:r>
          <w:rPr>
            <w:i/>
            <w:iCs/>
            <w:color w:val="000000"/>
          </w:rPr>
          <w:t xml:space="preserve">Conservation Physiology</w:t>
        </w:r>
      </w:ins>
      <w:ins w:id="9030" w:author="Claude (proposed)" w:date="2026-07-20T12:00:00Z">
        <w:r>
          <w:rPr>
            <w:color w:val="000000"/>
          </w:rPr>
          <w:t xml:space="preserve"> 7, coz068.</w:t>
        </w:r>
      </w:ins>
    </w:p>
    <w:p w14:paraId="044E9EB9" w14:textId="77777777" w:rsidR="00CE3FC5" w:rsidRPr="00B67588" w:rsidRDefault="00A57723">
      <w:pPr>
        <w:spacing w:after="80" w:line="252" w:lineRule="auto"/>
        <w:ind w:left="360" w:hanging="360"/>
        <w:rPr>
          <w:color w:val="000000"/>
        </w:rPr>
      </w:pPr>
      <w:r>
        <w:rPr>
          <w:color w:val="000000"/>
        </w:rPr>
        <w:t xml:space="preserve">Ørsted, M., Jørgensen, L. B., &amp; Overgaard, J. (2022). Finding the right thermal limit: a framework to reconcile ecological, physiological and methodological aspects of CTmax in ectotherms. </w:t>
      </w:r>
      <w:r>
        <w:rPr>
          <w:i/>
          <w:iCs/>
          <w:color w:val="000000"/>
        </w:rPr>
        <w:t>Journal of Experimental Biology</w:t>
      </w:r>
      <w:r>
        <w:rPr>
          <w:color w:val="000000"/>
        </w:rPr>
        <w:t xml:space="preserve"> 225, jeb244514.</w:t>
      </w:r>
    </w:p>
    <w:p w14:paraId="5020C5F2" w14:textId="77777777" w:rsidR="00B35034" w:rsidRDefault="00B35034">
      <w:pPr>
        <w:spacing w:after="80" w:line="252" w:lineRule="auto"/>
        <w:ind w:left="360" w:hanging="360"/>
        <w:rPr>
          <w:color w:val="000000"/>
        </w:rPr>
      </w:pPr>
      <w:r>
        <w:rPr>
          <w:color w:val="000000"/>
        </w:rPr>
        <w:t xml:space="preserve">Paaijmans, K. P., Heinig, R. L., Seliga, R. A., Blanford, J. I., Blanford, S., Murdock, C. C., &amp; Thomas, M. B. (2013). Temperature variation makes ectotherms more sensitive to climate change. </w:t>
      </w:r>
      <w:r>
        <w:rPr>
          <w:i/>
          <w:iCs/>
          <w:color w:val="000000"/>
        </w:rPr>
        <w:t>Global Change Biology</w:t>
      </w:r>
      <w:r>
        <w:rPr>
          <w:color w:val="000000"/>
        </w:rPr>
        <w:t xml:space="preserve"> 19, 2373-2380.</w:t>
      </w:r>
    </w:p>
    <w:p w14:paraId="572BC6C5" w14:textId="1C1E43EE" w:rsidR="00F72D5A" w:rsidRPr="00B67588" w:rsidRDefault="00A57723">
      <w:pPr>
        <w:spacing w:after="80" w:line="252" w:lineRule="auto"/>
        <w:ind w:left="360" w:hanging="360"/>
        <w:rPr>
          <w:color w:val="000000"/>
        </w:rPr>
      </w:pPr>
      <w:r>
        <w:rPr>
          <w:color w:val="000000"/>
        </w:rPr>
        <w:t xml:space="preserve">Pinsky, M. L., Eikeset, A. M., McCauley, D. J., Payne, J. L., &amp; Sunday, J. M. (2019). Greater vulnerability to warming of marine versus terrestrial ectotherms. </w:t>
      </w:r>
      <w:r>
        <w:rPr>
          <w:i/>
          <w:iCs/>
          <w:color w:val="000000"/>
        </w:rPr>
        <w:t>Nature</w:t>
      </w:r>
      <w:r>
        <w:rPr>
          <w:color w:val="000000"/>
        </w:rPr>
        <w:t xml:space="preserve"> 569, 108-111.</w:t>
      </w:r>
    </w:p>
    <w:p w14:paraId="3F9D66A9" w14:textId="77777777" w:rsidR="00F72D5A" w:rsidRPr="00B67588" w:rsidRDefault="00A57723">
      <w:pPr>
        <w:spacing w:after="80" w:line="252" w:lineRule="auto"/>
        <w:ind w:left="360" w:hanging="360"/>
        <w:rPr>
          <w:color w:val="000000"/>
        </w:rPr>
      </w:pPr>
      <w:r>
        <w:rPr>
          <w:color w:val="000000"/>
        </w:rPr>
        <w:t xml:space="preserve">Pörtner, H.-O., &amp; Knust, R. (2007). Climate change affects marine fishes through the oxygen limitation of thermal tolerance. </w:t>
      </w:r>
      <w:r>
        <w:rPr>
          <w:i/>
          <w:iCs/>
          <w:color w:val="000000"/>
        </w:rPr>
        <w:t>Science</w:t>
      </w:r>
      <w:r>
        <w:rPr>
          <w:color w:val="000000"/>
        </w:rPr>
        <w:t xml:space="preserve"> 315, 95-97.</w:t>
      </w:r>
    </w:p>
    <w:p w14:paraId="457549CF" w14:textId="77777777" w:rsidR="00F72D5A" w:rsidRPr="00B67588" w:rsidRDefault="00A57723">
      <w:pPr>
        <w:spacing w:after="80" w:line="252" w:lineRule="auto"/>
        <w:ind w:left="360" w:hanging="360"/>
        <w:rPr>
          <w:color w:val="000000"/>
        </w:rPr>
      </w:pPr>
      <w:r>
        <w:rPr>
          <w:color w:val="000000"/>
        </w:rPr>
        <w:t xml:space="preserve">Pörtner, H.-O., Bock, C., &amp; Mark, F. C. (2017). Oxygen- and capacity-limited thermal tolerance: bridging ecology and physiology. </w:t>
      </w:r>
      <w:r>
        <w:rPr>
          <w:i/>
          <w:iCs/>
          <w:color w:val="000000"/>
        </w:rPr>
        <w:t>Journal of Experimental Biology</w:t>
      </w:r>
      <w:r>
        <w:rPr>
          <w:color w:val="000000"/>
        </w:rPr>
        <w:t xml:space="preserve"> 220, 2685-2696.</w:t>
      </w:r>
    </w:p>
    <w:p w14:paraId="147840C8" w14:textId="77777777" w:rsidR="00CE3FC5" w:rsidRPr="00B67588" w:rsidRDefault="00A57723">
      <w:pPr>
        <w:spacing w:after="80" w:line="252" w:lineRule="auto"/>
        <w:ind w:left="360" w:hanging="360"/>
        <w:rPr>
          <w:color w:val="000000"/>
        </w:rPr>
      </w:pPr>
      <w:r>
        <w:rPr>
          <w:color w:val="000000"/>
        </w:rPr>
        <w:t xml:space="preserve">Rezende, E. L., Castañeda, L. E., &amp; Santos, M. (2014). Tolerance landscapes in thermal ecology. </w:t>
      </w:r>
      <w:r>
        <w:rPr>
          <w:i/>
          <w:iCs/>
          <w:color w:val="000000"/>
        </w:rPr>
        <w:t>Functional Ecology</w:t>
      </w:r>
      <w:r>
        <w:rPr>
          <w:color w:val="000000"/>
        </w:rPr>
        <w:t xml:space="preserve"> 28, 799-809.</w:t>
      </w:r>
    </w:p>
    <w:p w14:paraId="6459F4E6" w14:textId="77777777" w:rsidR="00CE3FC5" w:rsidRPr="00B67588" w:rsidRDefault="00A57723">
      <w:pPr>
        <w:spacing w:after="80" w:line="252" w:lineRule="auto"/>
        <w:ind w:left="360" w:hanging="360"/>
        <w:rPr>
          <w:color w:val="000000"/>
        </w:rPr>
      </w:pPr>
      <w:r>
        <w:rPr>
          <w:color w:val="000000"/>
        </w:rPr>
        <w:t xml:space="preserve">Sartoris, F. J., Bock, C., &amp; Pörtner, H.-O. (2003). Temperature-dependent pH regulation in eurythermal and stenothermal marine fish: an interspecies comparison using 31P-NMR. </w:t>
      </w:r>
      <w:r>
        <w:rPr>
          <w:i/>
          <w:iCs/>
          <w:color w:val="000000"/>
        </w:rPr>
        <w:t>Journal of Thermal Biology</w:t>
      </w:r>
      <w:r>
        <w:rPr>
          <w:color w:val="000000"/>
        </w:rPr>
        <w:t xml:space="preserve"> 28, 363-371.</w:t>
      </w:r>
    </w:p>
    <w:p w14:paraId="6A14F6E4" w14:textId="77777777" w:rsidR="00F72D5A" w:rsidRPr="00B67588" w:rsidRDefault="00A57723">
      <w:pPr>
        <w:spacing w:after="80" w:line="252" w:lineRule="auto"/>
        <w:ind w:left="360" w:hanging="360"/>
        <w:rPr>
          <w:color w:val="000000"/>
        </w:rPr>
      </w:pPr>
      <w:r>
        <w:rPr>
          <w:color w:val="000000"/>
        </w:rPr>
        <w:t xml:space="preserve">Sokolova, I. M. (2013). Energy-limited tolerance to stress as a conceptual framework to integrate the effects of multiple stressors. </w:t>
      </w:r>
      <w:r>
        <w:rPr>
          <w:i/>
          <w:iCs/>
          <w:color w:val="000000"/>
        </w:rPr>
        <w:t>Integrative and Comparative Biology</w:t>
      </w:r>
      <w:r>
        <w:rPr>
          <w:color w:val="000000"/>
        </w:rPr>
        <w:t xml:space="preserve"> 53, 597-608.</w:t>
      </w:r>
    </w:p>
    <w:p w14:paraId="05DD1C8A" w14:textId="77777777" w:rsidR="00CE3FC5" w:rsidRPr="00B67588" w:rsidRDefault="00A57723">
      <w:pPr>
        <w:spacing w:after="80" w:line="252" w:lineRule="auto"/>
        <w:ind w:left="360" w:hanging="360"/>
        <w:rPr>
          <w:color w:val="000000"/>
        </w:rPr>
      </w:pPr>
      <w:r>
        <w:rPr>
          <w:color w:val="000000"/>
        </w:rPr>
        <w:t xml:space="preserve">Windisch, H. S., Lucassen, M., &amp; Frickenhaus, S. (2012). Evolutionary force in confamiliar marine vertebrates of different temperature realms: adaptive trends in zoarcid fish transcriptomes. </w:t>
      </w:r>
      <w:r>
        <w:rPr>
          <w:i/>
          <w:iCs/>
          <w:color w:val="000000"/>
        </w:rPr>
        <w:t>BMC Genomics</w:t>
      </w:r>
      <w:r>
        <w:rPr>
          <w:color w:val="000000"/>
        </w:rPr>
        <w:t xml:space="preserve"> 13, 549.</w:t>
      </w:r>
    </w:p>
    <w:p w14:paraId="0E9C89A4" w14:textId="30804183" w:rsidR="00CE3FC5" w:rsidRPr="00B67588" w:rsidRDefault="00A57723">
      <w:pPr>
        <w:spacing w:after="80" w:line="252" w:lineRule="auto"/>
        <w:ind w:left="360" w:hanging="360"/>
        <w:rPr>
          <w:color w:val="000000"/>
        </w:rPr>
      </w:pPr>
      <w:r>
        <w:rPr>
          <w:color w:val="000000"/>
        </w:rPr>
        <w:t xml:space="preserve">Windisch, H. S., Frickenhaus, S., John, U., Knust, R., Pörtner, H.-O., &amp; Lucassen, M. (2014). Stress response or beneficial temperature acclimation: transcriptomic signatures in Antarctic fish (Pachycara brachycephalum). </w:t>
      </w:r>
      <w:r>
        <w:rPr>
          <w:i/>
          <w:iCs/>
          <w:color w:val="000000"/>
        </w:rPr>
        <w:t>Molecular Ecology</w:t>
      </w:r>
      <w:r>
        <w:rPr>
          <w:color w:val="000000"/>
        </w:rPr>
        <w:t xml:space="preserve"> 23, 3469-3482.</w:t>
      </w:r>
    </w:p>
    <w:sectPr w:rsidR="00CE3FC5" w:rsidRPr="00B6758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63DC" w14:textId="77777777" w:rsidR="00EF6E37" w:rsidRDefault="00EF6E37">
      <w:r>
        <w:separator/>
      </w:r>
    </w:p>
  </w:endnote>
  <w:endnote w:type="continuationSeparator" w:id="0">
    <w:p w14:paraId="7C8649C9" w14:textId="77777777" w:rsidR="00EF6E37" w:rsidRDefault="00EF6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C2005" w14:textId="77777777" w:rsidR="00EF6E37" w:rsidRDefault="00EF6E37">
      <w:r>
        <w:separator/>
      </w:r>
    </w:p>
  </w:footnote>
  <w:footnote w:type="continuationSeparator" w:id="0">
    <w:p w14:paraId="031777C6" w14:textId="77777777" w:rsidR="00EF6E37" w:rsidRDefault="00EF6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5BED6911"/>
    <w:multiLevelType w:val="hybridMultilevel"/>
    <w:tmpl w:val="EB52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2"/>
    <w:lvlOverride w:ilvl="0">
      <w:startOverride w:val="1"/>
    </w:lvlOverride>
  </w:num>
  <w:num w:numId="3" w16cid:durableId="165295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00171A"/>
    <w:rsid w:val="0000289B"/>
    <w:rsid w:val="00017BCC"/>
    <w:rsid w:val="00020AE0"/>
    <w:rsid w:val="00026387"/>
    <w:rsid w:val="0003253C"/>
    <w:rsid w:val="00044318"/>
    <w:rsid w:val="00047004"/>
    <w:rsid w:val="000754A3"/>
    <w:rsid w:val="000A1E3E"/>
    <w:rsid w:val="000C1EBD"/>
    <w:rsid w:val="000D6128"/>
    <w:rsid w:val="000D781B"/>
    <w:rsid w:val="000F5433"/>
    <w:rsid w:val="00166822"/>
    <w:rsid w:val="0017443F"/>
    <w:rsid w:val="001A0A14"/>
    <w:rsid w:val="001A3B95"/>
    <w:rsid w:val="001A5E0C"/>
    <w:rsid w:val="001B0C2B"/>
    <w:rsid w:val="001B61BD"/>
    <w:rsid w:val="00205B3E"/>
    <w:rsid w:val="00222838"/>
    <w:rsid w:val="0022687A"/>
    <w:rsid w:val="002345BA"/>
    <w:rsid w:val="00242733"/>
    <w:rsid w:val="00245341"/>
    <w:rsid w:val="0025356E"/>
    <w:rsid w:val="00255DD8"/>
    <w:rsid w:val="00270DA0"/>
    <w:rsid w:val="002A79CA"/>
    <w:rsid w:val="002B387B"/>
    <w:rsid w:val="002C4487"/>
    <w:rsid w:val="002E5511"/>
    <w:rsid w:val="002E784A"/>
    <w:rsid w:val="002F7634"/>
    <w:rsid w:val="00314C67"/>
    <w:rsid w:val="00326F3B"/>
    <w:rsid w:val="00333C71"/>
    <w:rsid w:val="0034507A"/>
    <w:rsid w:val="0035042C"/>
    <w:rsid w:val="003633AC"/>
    <w:rsid w:val="00364554"/>
    <w:rsid w:val="003669A9"/>
    <w:rsid w:val="00370877"/>
    <w:rsid w:val="0037732E"/>
    <w:rsid w:val="00397B81"/>
    <w:rsid w:val="003A693A"/>
    <w:rsid w:val="003B2F57"/>
    <w:rsid w:val="003C7AE1"/>
    <w:rsid w:val="003D4702"/>
    <w:rsid w:val="003E13D9"/>
    <w:rsid w:val="003F48B3"/>
    <w:rsid w:val="004111AF"/>
    <w:rsid w:val="00420541"/>
    <w:rsid w:val="004524C9"/>
    <w:rsid w:val="004554D6"/>
    <w:rsid w:val="00466EE0"/>
    <w:rsid w:val="00470545"/>
    <w:rsid w:val="004764C3"/>
    <w:rsid w:val="004A07AF"/>
    <w:rsid w:val="004A0B8A"/>
    <w:rsid w:val="004D02FA"/>
    <w:rsid w:val="004E028E"/>
    <w:rsid w:val="004E1CCE"/>
    <w:rsid w:val="00525273"/>
    <w:rsid w:val="00527A63"/>
    <w:rsid w:val="00540259"/>
    <w:rsid w:val="005465E4"/>
    <w:rsid w:val="0055072F"/>
    <w:rsid w:val="00552F96"/>
    <w:rsid w:val="0055675B"/>
    <w:rsid w:val="005641AD"/>
    <w:rsid w:val="00570D77"/>
    <w:rsid w:val="005B0BB5"/>
    <w:rsid w:val="005B5118"/>
    <w:rsid w:val="005C2434"/>
    <w:rsid w:val="005D726C"/>
    <w:rsid w:val="005E2141"/>
    <w:rsid w:val="005E578D"/>
    <w:rsid w:val="00605B28"/>
    <w:rsid w:val="00620F40"/>
    <w:rsid w:val="006264A3"/>
    <w:rsid w:val="00650C04"/>
    <w:rsid w:val="00665592"/>
    <w:rsid w:val="006660C7"/>
    <w:rsid w:val="006C10EB"/>
    <w:rsid w:val="006C5811"/>
    <w:rsid w:val="006E4790"/>
    <w:rsid w:val="00744079"/>
    <w:rsid w:val="007465E4"/>
    <w:rsid w:val="00746D93"/>
    <w:rsid w:val="007658D4"/>
    <w:rsid w:val="007C28BF"/>
    <w:rsid w:val="007C3591"/>
    <w:rsid w:val="007C62A1"/>
    <w:rsid w:val="007C6434"/>
    <w:rsid w:val="0081497D"/>
    <w:rsid w:val="0083281C"/>
    <w:rsid w:val="008329A4"/>
    <w:rsid w:val="00841486"/>
    <w:rsid w:val="00870181"/>
    <w:rsid w:val="0089490A"/>
    <w:rsid w:val="008A2A67"/>
    <w:rsid w:val="00902D11"/>
    <w:rsid w:val="00904782"/>
    <w:rsid w:val="00916E04"/>
    <w:rsid w:val="00950DF3"/>
    <w:rsid w:val="009529B4"/>
    <w:rsid w:val="00955099"/>
    <w:rsid w:val="0095552D"/>
    <w:rsid w:val="0097662D"/>
    <w:rsid w:val="009D2D29"/>
    <w:rsid w:val="009D4471"/>
    <w:rsid w:val="009E3CEB"/>
    <w:rsid w:val="009F6FE7"/>
    <w:rsid w:val="00A03557"/>
    <w:rsid w:val="00A07735"/>
    <w:rsid w:val="00A1125D"/>
    <w:rsid w:val="00A14CB4"/>
    <w:rsid w:val="00A16675"/>
    <w:rsid w:val="00A253FE"/>
    <w:rsid w:val="00A4210E"/>
    <w:rsid w:val="00A43503"/>
    <w:rsid w:val="00A57723"/>
    <w:rsid w:val="00A742D3"/>
    <w:rsid w:val="00A953FA"/>
    <w:rsid w:val="00AA214A"/>
    <w:rsid w:val="00AA33CD"/>
    <w:rsid w:val="00AC0916"/>
    <w:rsid w:val="00AC1E38"/>
    <w:rsid w:val="00AC4D3F"/>
    <w:rsid w:val="00AC704F"/>
    <w:rsid w:val="00AD0B42"/>
    <w:rsid w:val="00AE3F7F"/>
    <w:rsid w:val="00AF5210"/>
    <w:rsid w:val="00B02850"/>
    <w:rsid w:val="00B02B00"/>
    <w:rsid w:val="00B32331"/>
    <w:rsid w:val="00B35034"/>
    <w:rsid w:val="00B53DE8"/>
    <w:rsid w:val="00B67588"/>
    <w:rsid w:val="00B70FA2"/>
    <w:rsid w:val="00B920E0"/>
    <w:rsid w:val="00BA0D85"/>
    <w:rsid w:val="00BD246A"/>
    <w:rsid w:val="00BF4086"/>
    <w:rsid w:val="00C04810"/>
    <w:rsid w:val="00C132A8"/>
    <w:rsid w:val="00C13E14"/>
    <w:rsid w:val="00C3087C"/>
    <w:rsid w:val="00C547FA"/>
    <w:rsid w:val="00C76F0F"/>
    <w:rsid w:val="00C80471"/>
    <w:rsid w:val="00CA7419"/>
    <w:rsid w:val="00CB5045"/>
    <w:rsid w:val="00CC2CD8"/>
    <w:rsid w:val="00CE13E9"/>
    <w:rsid w:val="00CE3FC5"/>
    <w:rsid w:val="00CF69FB"/>
    <w:rsid w:val="00D07BA0"/>
    <w:rsid w:val="00D26151"/>
    <w:rsid w:val="00D4041D"/>
    <w:rsid w:val="00D46DAE"/>
    <w:rsid w:val="00D566B7"/>
    <w:rsid w:val="00D70526"/>
    <w:rsid w:val="00D84371"/>
    <w:rsid w:val="00DA422C"/>
    <w:rsid w:val="00DA61CC"/>
    <w:rsid w:val="00DA755B"/>
    <w:rsid w:val="00E10F87"/>
    <w:rsid w:val="00E179B9"/>
    <w:rsid w:val="00E31EE2"/>
    <w:rsid w:val="00E536FA"/>
    <w:rsid w:val="00E55F98"/>
    <w:rsid w:val="00EB0115"/>
    <w:rsid w:val="00EF2B97"/>
    <w:rsid w:val="00EF6E37"/>
    <w:rsid w:val="00F022D0"/>
    <w:rsid w:val="00F45FE5"/>
    <w:rsid w:val="00F60DB1"/>
    <w:rsid w:val="00F65FD7"/>
    <w:rsid w:val="00F70FEC"/>
    <w:rsid w:val="00F7297C"/>
    <w:rsid w:val="00F72D5A"/>
    <w:rsid w:val="00F76535"/>
    <w:rsid w:val="00F76D14"/>
    <w:rsid w:val="00F8087D"/>
    <w:rsid w:val="00F831F9"/>
    <w:rsid w:val="00FA19EF"/>
    <w:rsid w:val="00FA79F8"/>
    <w:rsid w:val="00FB67E2"/>
    <w:rsid w:val="00FF09B5"/>
    <w:rsid w:val="00FF7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EC5B"/>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000000"/>
      <w:sz w:val="26"/>
      <w:szCs w:val="26"/>
    </w:rPr>
  </w:style>
  <w:style w:type="paragraph" w:styleId="Heading2">
    <w:name w:val="heading 2"/>
    <w:uiPriority w:val="9"/>
    <w:unhideWhenUsed/>
    <w:qFormat/>
    <w:pPr>
      <w:spacing w:before="180" w:after="8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160"/>
    </w:pPr>
    <w:rPr>
      <w:b/>
      <w:bCs/>
      <w:sz w:val="30"/>
      <w:szCs w:val="30"/>
    </w:rPr>
  </w:style>
  <w:style w:type="paragraph" w:styleId="Header">
    <w:name w:val="header"/>
    <w:basedOn w:val="Normal"/>
    <w:link w:val="HeaderChar"/>
    <w:uiPriority w:val="99"/>
    <w:unhideWhenUsed/>
    <w:rsid w:val="00B67588"/>
    <w:pPr>
      <w:tabs>
        <w:tab w:val="center" w:pos="4680"/>
        <w:tab w:val="right" w:pos="9360"/>
      </w:tabs>
    </w:pPr>
  </w:style>
  <w:style w:type="character" w:customStyle="1" w:styleId="HeaderChar">
    <w:name w:val="Header Char"/>
    <w:basedOn w:val="DefaultParagraphFont"/>
    <w:link w:val="Header"/>
    <w:uiPriority w:val="99"/>
    <w:rsid w:val="00B67588"/>
  </w:style>
  <w:style w:type="paragraph" w:styleId="Footer">
    <w:name w:val="footer"/>
    <w:basedOn w:val="Normal"/>
    <w:link w:val="FooterChar"/>
    <w:uiPriority w:val="99"/>
    <w:unhideWhenUsed/>
    <w:rsid w:val="00B67588"/>
    <w:pPr>
      <w:tabs>
        <w:tab w:val="center" w:pos="4680"/>
        <w:tab w:val="right" w:pos="9360"/>
      </w:tabs>
    </w:pPr>
  </w:style>
  <w:style w:type="character" w:customStyle="1" w:styleId="FooterChar">
    <w:name w:val="Footer Char"/>
    <w:basedOn w:val="DefaultParagraphFont"/>
    <w:link w:val="Footer"/>
    <w:uiPriority w:val="99"/>
    <w:rsid w:val="00B6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001" Type="http://schemas.openxmlformats.org/officeDocument/2006/relationships/image" Target="media/figur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4</Pages>
  <Words>2122</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Matthew (DFW)</cp:lastModifiedBy>
  <cp:revision>52</cp:revision>
  <dcterms:created xsi:type="dcterms:W3CDTF">2026-07-02T12:18:00Z</dcterms:created>
  <dcterms:modified xsi:type="dcterms:W3CDTF">2026-07-03T22:04:00Z</dcterms:modified>
</cp:coreProperties>
</file>