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pPr>
      <w:r>
        <w:rPr>
          <w:color w:val="595959"/>
          <w:sz w:val="19"/>
          <w:szCs w:val="19"/>
        </w:rPr>
        <w:t xml:space="preserve">Washington Department of Fish and Wildlife  |  Coastal Shellfish Unit</w:t>
      </w:r>
    </w:p>
    <w:p>
      <w:pPr>
        <w:spacing w:after="40" w:before="120"/>
      </w:pPr>
      <w:r>
        <w:rPr>
          <w:b/>
          <w:bCs/>
          <w:sz w:val="34"/>
          <w:szCs w:val="34"/>
        </w:rPr>
        <w:t xml:space="preserve">Recreational Razor Clam Harvest Estimation</w:t>
      </w:r>
    </w:p>
    <w:p>
      <w:pPr>
        <w:spacing w:after="200"/>
      </w:pPr>
      <w:r>
        <w:rPr>
          <w:b/>
          <w:bCs/>
          <w:color w:val="1B4965"/>
          <w:sz w:val="26"/>
          <w:szCs w:val="26"/>
        </w:rPr>
        <w:t xml:space="preserve">Methodology, History, Uncertainty, and Sampling Design</w:t>
      </w:r>
    </w:p>
    <w:p>
      <w:pPr>
        <w:spacing w:after="240"/>
      </w:pPr>
      <w:r>
        <w:rPr>
          <w:i/>
          <w:iCs/>
          <w:color w:val="595959"/>
          <w:sz w:val="20"/>
          <w:szCs w:val="20"/>
        </w:rPr>
        <w:t xml:space="preserve">Version 5  |  2026 program review</w:t>
      </w:r>
    </w:p>
    <w:p>
      <w:pPr>
        <w:spacing w:after="120" w:before="0" w:line="276"/>
      </w:pPr>
      <w:r>
        <w:rPr>
          <w:b/>
          <w:bCs/>
          <w:sz w:val="21"/>
          <w:szCs w:val="21"/>
        </w:rPr>
        <w:t xml:space="preserve">Scope. </w:t>
      </w:r>
      <w:r>
        <w:rPr>
          <w:sz w:val="21"/>
          <w:szCs w:val="21"/>
        </w:rPr>
        <w:t xml:space="preserve">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pPr>
        <w:spacing w:after="120" w:before="0" w:line="276"/>
      </w:pPr>
      <w:r>
        <w:rPr>
          <w:b/>
          <w:bCs/>
          <w:sz w:val="21"/>
          <w:szCs w:val="21"/>
        </w:rPr>
        <w:t xml:space="preserve">Status. </w:t>
      </w:r>
      <w:r>
        <w:rPr>
          <w:sz w:val="21"/>
          <w:szCs w:val="21"/>
        </w:rPr>
        <w:t xml:space="preserve">Working reference. The estimation chain in section 4 has been reimplemented from the five raw database tables and reproduces the database's own stored outputs on 13,651 of 13,653 joinable rows. The imputation rule of section 4.5 has been validated by leave-one-out cross validation on 2,889 paired beach-days (section 10.2). The correction factor of section 5 has been given a between-survey variance by resampling the egress surveys behind each expansion table (section 10.3). Section 11 states a defensible answer to the question of how many beach-days per tide series must be counted. Version 5 restores the 2017-18 season from its FINAL printout and establishes that the 2022-23 published season total omits an entire tide series. Items that could not be confirmed are flagged as open.</w:t>
      </w:r>
    </w:p>
    <w:p>
      <w:pPr>
        <w:spacing w:after="120" w:before="0" w:line="276"/>
      </w:pPr>
      <w:r>
        <w:rPr>
          <w:b/>
          <w:bCs/>
          <w:sz w:val="21"/>
          <w:szCs w:val="21"/>
        </w:rPr>
        <w:t xml:space="preserve">Beaches covered. </w:t>
      </w:r>
      <w:r>
        <w:rPr>
          <w:sz w:val="21"/>
          <w:szCs w:val="21"/>
        </w:rPr>
        <w:t xml:space="preserve">Long Beach, Twin Harbors, Copalis, and Mocrocks (the four expansion-table beaches). Kalaloch is assessed separately by Olympic National Park staff and is treated as a special case (section 7.5).</w:t>
      </w:r>
    </w:p>
    <w:p>
      <w:pPr>
        <w:spacing w:after="120" w:before="160" w:line="276"/>
      </w:pPr>
      <w:r>
        <w:rPr>
          <w:b/>
          <w:bCs/>
          <w:sz w:val="21"/>
          <w:szCs w:val="21"/>
        </w:rPr>
        <w:t xml:space="preserve">What is new in version 5</w:t>
      </w:r>
    </w:p>
    <w:p>
      <w:pPr>
        <w:pStyle w:val="ListParagraph"/>
        <w:numPr>
          <w:ilvl w:val="0"/>
          <w:numId w:val="1"/>
        </w:numPr>
        <w:spacing w:after="60" w:line="276"/>
      </w:pPr>
      <w:r>
        <w:rPr>
          <w:sz w:val="21"/>
          <w:szCs w:val="21"/>
        </w:rPr>
        <w:t xml:space="preserve">The 2017-18 season is restored. Version 4 excluded it from several analyses because its Effort tab holds only 10 of 27 dig days. The FINAL printout in the repository is the complete season record, and it reconciles to the harvest database beach-day by beach-day: 66 of its 67 open beach-days carry a census, 65 of those 66 agree to within rounding, and the database backs 99.97 percent of the printout's coastwide effort. 2017-18 was the most completely sampled season on record, and it is the last season before the collapse in coverage. It is now in Table 1 and Figures 4 and 12, and section 6.2 carries the full reconciliation as Table 5.</w:t>
      </w:r>
    </w:p>
    <w:p>
      <w:pPr>
        <w:pStyle w:val="ListParagraph"/>
        <w:numPr>
          <w:ilvl w:val="0"/>
          <w:numId w:val="1"/>
        </w:numPr>
        <w:spacing w:after="60" w:line="276"/>
      </w:pPr>
      <w:r>
        <w:rPr>
          <w:sz w:val="21"/>
          <w:szCs w:val="21"/>
        </w:rPr>
        <w:t xml:space="preserve">The 2022-23 season is worse than version 4 said, and in a different way. Its Effort tab is not a mid-season snapshot: it runs to 25 April 2023 and then stops. The 4 to 14 May 2023 tide series, 33 open beach-days on the program's own schedule, appears nowhere in the workbook. The harvest database holds 22 of those beach-days, worth 61,959 digger trips, or 26.1 percent of the workbook's coastwide total. The published 2022-23 season totals, 237,419 digger trips and 3,570,881 clams including wastage, are not season totals.</w:t>
      </w:r>
    </w:p>
    <w:p>
      <w:pPr>
        <w:pStyle w:val="ListParagraph"/>
        <w:numPr>
          <w:ilvl w:val="0"/>
          <w:numId w:val="1"/>
        </w:numPr>
        <w:spacing w:after="60" w:line="276"/>
      </w:pPr>
      <w:r>
        <w:rPr>
          <w:sz w:val="21"/>
          <w:szCs w:val="21"/>
        </w:rPr>
        <w:t xml:space="preserve">The 2023-24 season is not truncated. The workbook now in the repository holds all 100 dig days to 12 May 2024. Version 4's statement that it ends on 18 November 2023 described a superseded snapshot. The dig-day register and the corrected-estimates workbook already used the complete file; the recompute workbook's coverage sheet did not, and its 2023-24 rows are stale.</w:t>
      </w:r>
    </w:p>
    <w:p>
      <w:pPr>
        <w:pStyle w:val="ListParagraph"/>
        <w:numPr>
          <w:ilvl w:val="0"/>
          <w:numId w:val="1"/>
        </w:numPr>
        <w:spacing w:after="60" w:line="276"/>
      </w:pPr>
      <w:r>
        <w:rPr>
          <w:sz w:val="21"/>
          <w:szCs w:val="21"/>
        </w:rPr>
        <w:t xml:space="preserve">The 2017-18 published wastage, 109,381 clams, has no traceable source. The four Wastage sheets in the 2017-18 workbook are empty, its wastage-rate cell is blank, and the harvest database holds wastage surveys for only Mocrocks and Twin Harbors that season, totalling 12,764 clams. Wastage cannot be recomputed for that season from either source.</w:t>
      </w:r>
    </w:p>
    <w:p>
      <w:pPr>
        <w:pStyle w:val="ListParagraph"/>
        <w:numPr>
          <w:ilvl w:val="0"/>
          <w:numId w:val="1"/>
        </w:numPr>
        <w:spacing w:after="60" w:line="276"/>
      </w:pPr>
      <w:r>
        <w:rPr>
          <w:sz w:val="21"/>
          <w:szCs w:val="21"/>
        </w:rPr>
        <w:t xml:space="preserve">Four 2017-18 beach-days do not reconcile and need a records check. Copalis on 2 November 2017 and 21 April 2018 differ in effort by 10.3 and 5.2 percent. Long Beach on 31 December 2017 and Mocrocks on 21 April 2018 carry printout catch rates of 10.2 and 10.1 clams per digger trip against database rates of 12.14 and 14.68. Those four days, less the single imputed Twin Harbors beach-day, account exactly for the 42,732-clam coastwide harvest difference.</w:t>
      </w:r>
    </w:p>
    <w:p>
      <w:pPr>
        <w:spacing w:after="120" w:before="120" w:line="276"/>
      </w:pPr>
      <w:r>
        <w:rPr>
          <w:b/>
          <w:bCs/>
          <w:sz w:val="21"/>
          <w:szCs w:val="21"/>
        </w:rPr>
        <w:t xml:space="preserve">Carried over from version 4</w:t>
      </w:r>
    </w:p>
    <w:p>
      <w:pPr>
        <w:pStyle w:val="ListParagraph"/>
        <w:numPr>
          <w:ilvl w:val="0"/>
          <w:numId w:val="1"/>
        </w:numPr>
        <w:spacing w:after="60" w:line="276"/>
      </w:pPr>
      <w:r>
        <w:rPr>
          <w:sz w:val="21"/>
          <w:szCs w:val="21"/>
        </w:rPr>
        <w:t xml:space="preserve">Fourteen figures and twenty-two numbered tables. Every figure and table is generated directly from the data products in the repository, so all of them are reproducible.</w:t>
      </w:r>
    </w:p>
    <w:p>
      <w:pPr>
        <w:pStyle w:val="ListParagraph"/>
        <w:numPr>
          <w:ilvl w:val="0"/>
          <w:numId w:val="1"/>
        </w:numPr>
        <w:spacing w:after="60" w:line="276"/>
      </w:pPr>
      <w:r>
        <w:rPr>
          <w:sz w:val="21"/>
          <w:szCs w:val="21"/>
        </w:rPr>
        <w:t xml:space="preserve">Section 5.6: the complete egress survey record behind every expansion table, with per-table provenance, verification status, and the fifteen defects found in that record.</w:t>
      </w:r>
    </w:p>
    <w:p>
      <w:pPr>
        <w:pStyle w:val="ListParagraph"/>
        <w:numPr>
          <w:ilvl w:val="0"/>
          <w:numId w:val="1"/>
        </w:numPr>
        <w:spacing w:after="60" w:line="276"/>
      </w:pPr>
      <w:r>
        <w:rPr>
          <w:sz w:val="21"/>
          <w:szCs w:val="21"/>
        </w:rPr>
        <w:t xml:space="preserve">Section 6.3 quantifies what the post-2013 table refinements did. The same Long Beach count expands to 33.1 percent more digger trips under the current table than under the 2013 table.</w:t>
      </w:r>
    </w:p>
    <w:p>
      <w:pPr>
        <w:pStyle w:val="ListParagraph"/>
        <w:numPr>
          <w:ilvl w:val="0"/>
          <w:numId w:val="1"/>
        </w:numPr>
        <w:spacing w:after="60" w:line="276"/>
      </w:pPr>
      <w:r>
        <w:rPr>
          <w:sz w:val="21"/>
          <w:szCs w:val="21"/>
        </w:rPr>
        <w:t xml:space="preserve">Section 11: a sampling design recommendation built against two published precision standards, with the number of days per tide series required, the day-selection rule, the irreducible floor set by the correction factor, and the crew-day arithmetic showing the reallocation is cost-neutral.</w:t>
      </w:r>
    </w:p>
    <w:p>
      <w:pPr>
        <w:pStyle w:val="ListParagraph"/>
        <w:numPr>
          <w:ilvl w:val="0"/>
          <w:numId w:val="1"/>
        </w:numPr>
        <w:spacing w:after="60" w:line="276"/>
      </w:pPr>
      <w:r>
        <w:rPr>
          <w:sz w:val="21"/>
          <w:szCs w:val="21"/>
        </w:rPr>
        <w:t xml:space="preserve">Section 10.4: the intervals are strongly right-skewed, because effort scales with the reciprocal of the correction factor. Reporting them as plus or minus a percentage understates the upper tail.</w:t>
      </w:r>
    </w:p>
    <w:p>
      <w:pPr>
        <w:pStyle w:val="ListParagraph"/>
        <w:numPr>
          <w:ilvl w:val="0"/>
          <w:numId w:val="1"/>
        </w:numPr>
        <w:spacing w:after="60" w:line="276"/>
      </w:pPr>
      <w:r>
        <w:rPr>
          <w:sz w:val="21"/>
          <w:szCs w:val="21"/>
        </w:rPr>
        <w:t xml:space="preserve">Disagreements between companion work products, and two probable citation errors in the sampling-design workbook, are flagged rather than silently reconciled (sections 10.2, 10.4, 11.1).</w:t>
      </w:r>
    </w:p>
    <w:p>
      <w:r>
        <w:br w:type="page"/>
      </w:r>
    </w:p>
    <w:p>
      <w:pPr>
        <w:pStyle w:val="Heading1"/>
        <w:spacing w:after="140" w:before="280"/>
      </w:pPr>
      <w:r>
        <w:t xml:space="preserve">Contents</w:t>
      </w:r>
    </w:p>
    <w:sdt>
      <w:sdtPr>
        <w:alias w:val="Contents"/>
      </w:sdtPr>
      <w:sdtContent>
        <w:p>
          <w:r>
            <w:fldChar w:fldCharType="begin" w:dirty="true"/>
            <w:instrText xml:space="preserve">TOC \o "1-2"</w:instrText>
            <w:fldChar w:fldCharType="separate"/>
          </w:r>
        </w:p>
        <w:p>
          <w:r>
            <w:fldChar w:fldCharType="end"/>
          </w:r>
        </w:p>
      </w:sdtContent>
    </w:sdt>
    <w:p>
      <w:r>
        <w:br w:type="page"/>
      </w:r>
    </w:p>
    <w:p>
      <w:pPr>
        <w:pStyle w:val="Heading1"/>
        <w:spacing w:after="140" w:before="280"/>
      </w:pPr>
      <w:r>
        <w:t xml:space="preserve">The fishery in historical perspective</w:t>
      </w:r>
    </w:p>
    <w:p>
      <w:pPr>
        <w:spacing w:after="120" w:before="0" w:line="276"/>
      </w:pPr>
      <w:r>
        <w:rPr>
          <w:sz w:val="21"/>
          <w:szCs w:val="21"/>
        </w:rPr>
        <w:t xml:space="preserve">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pPr>
        <w:spacing w:after="120" w:before="0" w:line="276"/>
      </w:pPr>
      <w:r>
        <w:rPr>
          <w:sz w:val="21"/>
          <w:szCs w:val="21"/>
        </w:rPr>
        <w:t xml:space="preserve">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pPr>
        <w:spacing w:after="120" w:before="0" w:line="276"/>
      </w:pPr>
      <w:r>
        <w:rPr>
          <w:sz w:val="21"/>
          <w:szCs w:val="21"/>
        </w:rPr>
        <w:t xml:space="preserve">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pPr>
        <w:keepNext/>
        <w:spacing w:after="40" w:before="120"/>
        <w:jc w:val="center"/>
      </w:pPr>
      <w:r>
        <w:drawing>
          <wp:inline distT="0" distB="0" distL="0" distR="0">
            <wp:extent cx="5715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180"/>
        <w:jc w:val="left"/>
      </w:pPr>
      <w:r>
        <w:rPr>
          <w:b/>
          <w:bCs/>
          <w:sz w:val="18"/>
          <w:szCs w:val="18"/>
        </w:rPr>
        <w:t xml:space="preserve">Figure 1. </w:t>
      </w:r>
      <w:r>
        <w:rPr>
          <w:i/>
          <w:iCs/>
          <w:sz w:val="18"/>
          <w:szCs w:val="18"/>
        </w:rPr>
        <w:t xml:space="preserve">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pPr>
        <w:keepNext/>
        <w:spacing w:after="40" w:before="120"/>
        <w:jc w:val="center"/>
      </w:pPr>
      <w:r>
        <w:drawing>
          <wp:inline distT="0" distB="0" distL="0" distR="0">
            <wp:extent cx="5715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62225"/>
                    </a:xfrm>
                    <a:prstGeom prst="rect">
                      <a:avLst/>
                    </a:prstGeom>
                  </pic:spPr>
                </pic:pic>
              </a:graphicData>
            </a:graphic>
          </wp:inline>
        </w:drawing>
      </w:r>
    </w:p>
    <w:p>
      <w:pPr>
        <w:spacing w:after="180"/>
        <w:jc w:val="left"/>
      </w:pPr>
      <w:r>
        <w:rPr>
          <w:b/>
          <w:bCs/>
          <w:sz w:val="18"/>
          <w:szCs w:val="18"/>
        </w:rPr>
        <w:t xml:space="preserve">Figure 2. </w:t>
      </w:r>
      <w:r>
        <w:rPr>
          <w:i/>
          <w:iCs/>
          <w:sz w:val="18"/>
          <w:szCs w:val="18"/>
        </w:rPr>
        <w:t xml:space="preserve">Coastwide recreational razor clam participation, 1949 to 2024 (thousands of digger trips). Effort peaked near 967,000 digger trips in 1979, the year a razor clam license was first required. Sources as in Figure 1.</w:t>
      </w:r>
    </w:p>
    <w:p>
      <w:pPr>
        <w:spacing w:after="120" w:before="0" w:line="276"/>
      </w:pPr>
      <w:r>
        <w:rPr>
          <w:sz w:val="21"/>
          <w:szCs w:val="21"/>
        </w:rPr>
        <w:t xml:space="preserve">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pPr>
        <w:keepNext/>
        <w:spacing w:after="40" w:before="12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114800"/>
                    </a:xfrm>
                    <a:prstGeom prst="rect">
                      <a:avLst/>
                    </a:prstGeom>
                  </pic:spPr>
                </pic:pic>
              </a:graphicData>
            </a:graphic>
          </wp:inline>
        </w:drawing>
      </w:r>
    </w:p>
    <w:p>
      <w:pPr>
        <w:spacing w:after="180"/>
        <w:jc w:val="left"/>
      </w:pPr>
      <w:r>
        <w:rPr>
          <w:b/>
          <w:bCs/>
          <w:sz w:val="18"/>
          <w:szCs w:val="18"/>
        </w:rPr>
        <w:t xml:space="preserve">Figure 3. </w:t>
      </w:r>
      <w:r>
        <w:rPr>
          <w:i/>
          <w:iCs/>
          <w:sz w:val="18"/>
          <w:szCs w:val="18"/>
        </w:rPr>
        <w:t xml:space="preserve">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pPr>
        <w:spacing w:after="120" w:before="0" w:line="276"/>
      </w:pPr>
      <w:r>
        <w:rPr>
          <w:sz w:val="21"/>
          <w:szCs w:val="21"/>
        </w:rPr>
        <w:t xml:space="preserve">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pPr>
        <w:pStyle w:val="Heading1"/>
        <w:spacing w:after="140" w:before="280"/>
      </w:pPr>
      <w:r>
        <w:t xml:space="preserve">1. Purpose and scope</w:t>
      </w:r>
    </w:p>
    <w:p>
      <w:pPr>
        <w:spacing w:after="120" w:before="0" w:line="276"/>
      </w:pPr>
      <w:r>
        <w:rPr>
          <w:sz w:val="21"/>
          <w:szCs w:val="21"/>
        </w:rPr>
        <w:t xml:space="preserve">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pPr>
        <w:spacing w:after="120" w:before="0" w:line="276"/>
      </w:pPr>
      <w:r>
        <w:rPr>
          <w:sz w:val="21"/>
          <w:szCs w:val="21"/>
        </w:rPr>
        <w:t xml:space="preserve">The estimate rests on two distinct data streams that are easy to confuse and are documented separately in companion data dictionaries.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pPr>
        <w:pStyle w:val="Heading1"/>
        <w:spacing w:after="140" w:before="280"/>
      </w:pPr>
      <w:r>
        <w:t xml:space="preserve">2. Summary of the estimation approach</w:t>
      </w:r>
    </w:p>
    <w:p>
      <w:pPr>
        <w:spacing w:after="120" w:before="0" w:line="276"/>
      </w:pPr>
      <w:r>
        <w:rPr>
          <w:sz w:val="21"/>
          <w:szCs w:val="21"/>
        </w:rPr>
        <w:t xml:space="preserve">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pPr>
        <w:spacing w:after="120" w:before="0" w:line="276"/>
      </w:pPr>
      <w:r>
        <w:rPr>
          <w:sz w:val="21"/>
          <w:szCs w:val="21"/>
        </w:rPr>
        <w:t xml:space="preserve">For one beach on one open day the steps are:</w:t>
      </w:r>
    </w:p>
    <w:p>
      <w:pPr>
        <w:pStyle w:val="ListParagraph"/>
        <w:numPr>
          <w:ilvl w:val="0"/>
          <w:numId w:val="1"/>
        </w:numPr>
        <w:spacing w:after="60" w:line="276"/>
      </w:pPr>
      <w:r>
        <w:rPr>
          <w:b/>
          <w:bCs/>
          <w:sz w:val="21"/>
          <w:szCs w:val="21"/>
        </w:rPr>
        <w:t xml:space="preserve">Count. </w:t>
      </w:r>
      <w:r>
        <w:rPr>
          <w:sz w:val="21"/>
          <w:szCs w:val="21"/>
        </w:rPr>
        <w:t xml:space="preserve">A roving crew counts diggers along the beach about one hour before low water (or counts lights, called lanterns, or cars on dark tides).</w:t>
      </w:r>
    </w:p>
    <w:p>
      <w:pPr>
        <w:pStyle w:val="ListParagraph"/>
        <w:numPr>
          <w:ilvl w:val="0"/>
          <w:numId w:val="1"/>
        </w:numPr>
        <w:spacing w:after="60" w:line="276"/>
      </w:pPr>
      <w:r>
        <w:rPr>
          <w:b/>
          <w:bCs/>
          <w:sz w:val="21"/>
          <w:szCs w:val="21"/>
        </w:rPr>
        <w:t xml:space="preserve">Adjust for non-diggers. </w:t>
      </w:r>
      <w:r>
        <w:rPr>
          <w:sz w:val="21"/>
          <w:szCs w:val="21"/>
        </w:rPr>
        <w:t xml:space="preserve">The head count is reduced to diggers using the fraction of interviewed people who were actually digging.</w:t>
      </w:r>
    </w:p>
    <w:p>
      <w:pPr>
        <w:pStyle w:val="ListParagraph"/>
        <w:numPr>
          <w:ilvl w:val="0"/>
          <w:numId w:val="1"/>
        </w:numPr>
        <w:spacing w:after="60" w:line="276"/>
      </w:pPr>
      <w:r>
        <w:rPr>
          <w:b/>
          <w:bCs/>
          <w:sz w:val="21"/>
          <w:szCs w:val="21"/>
        </w:rPr>
        <w:t xml:space="preserve">Expand to the full day. </w:t>
      </w:r>
      <w:r>
        <w:rPr>
          <w:sz w:val="21"/>
          <w:szCs w:val="21"/>
        </w:rPr>
        <w:t xml:space="preserve">The instantaneous digger count is divided by the correction factor, the fraction of the day's effort present during the count, to estimate total digger trips.</w:t>
      </w:r>
    </w:p>
    <w:p>
      <w:pPr>
        <w:pStyle w:val="ListParagraph"/>
        <w:numPr>
          <w:ilvl w:val="0"/>
          <w:numId w:val="1"/>
        </w:numPr>
        <w:spacing w:after="60" w:line="276"/>
      </w:pPr>
      <w:r>
        <w:rPr>
          <w:b/>
          <w:bCs/>
          <w:sz w:val="21"/>
          <w:szCs w:val="21"/>
        </w:rPr>
        <w:t xml:space="preserve">Apply catch rate. </w:t>
      </w:r>
      <w:r>
        <w:rPr>
          <w:sz w:val="21"/>
          <w:szCs w:val="21"/>
        </w:rPr>
        <w:t xml:space="preserve">Total digger trips are multiplied by CPUE (clams per digger) from the interviews to get clams harvested.</w:t>
      </w:r>
    </w:p>
    <w:p>
      <w:pPr>
        <w:pStyle w:val="ListParagraph"/>
        <w:numPr>
          <w:ilvl w:val="0"/>
          <w:numId w:val="1"/>
        </w:numPr>
        <w:spacing w:after="60" w:line="276"/>
      </w:pPr>
      <w:r>
        <w:rPr>
          <w:b/>
          <w:bCs/>
          <w:sz w:val="21"/>
          <w:szCs w:val="21"/>
        </w:rPr>
        <w:t xml:space="preserve">Add wastage. </w:t>
      </w:r>
      <w:r>
        <w:rPr>
          <w:sz w:val="21"/>
          <w:szCs w:val="21"/>
        </w:rPr>
        <w:t xml:space="preserve">A wastage proportion from hole surveys is added.</w:t>
      </w:r>
    </w:p>
    <w:p>
      <w:pPr>
        <w:spacing w:after="120" w:before="60" w:line="276"/>
      </w:pPr>
      <w:r>
        <w:rPr>
          <w:sz w:val="21"/>
          <w:szCs w:val="21"/>
        </w:rPr>
        <w:t xml:space="preserve">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pPr>
        <w:pStyle w:val="Heading1"/>
        <w:spacing w:after="140" w:before="280"/>
      </w:pPr>
      <w:r>
        <w:t xml:space="preserve">3. Field data collection</w:t>
      </w:r>
    </w:p>
    <w:p>
      <w:pPr>
        <w:spacing w:after="120" w:before="0" w:line="276"/>
      </w:pPr>
      <w:r>
        <w:rPr>
          <w:sz w:val="21"/>
          <w:szCs w:val="21"/>
        </w:rPr>
        <w:t xml:space="preserve">WDFW assigns staff, as available, to each of the open management beaches on a dig day. The data below are collected per beach per day; egress surveys are run less frequently.</w:t>
      </w:r>
    </w:p>
    <w:p>
      <w:pPr>
        <w:pStyle w:val="Heading2"/>
        <w:spacing w:after="100" w:before="200"/>
      </w:pPr>
      <w:r>
        <w:t xml:space="preserve">3.1 Beach (digger) counts</w:t>
      </w:r>
    </w:p>
    <w:p>
      <w:pPr>
        <w:spacing w:after="120" w:before="0" w:line="276"/>
      </w:pPr>
      <w:r>
        <w:rPr>
          <w:sz w:val="21"/>
          <w:szCs w:val="21"/>
        </w:rPr>
        <w:t xml:space="preserve">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pPr>
        <w:pStyle w:val="Heading2"/>
        <w:spacing w:after="100" w:before="200"/>
      </w:pPr>
      <w:r>
        <w:t xml:space="preserve">3.2 Harvester interviews (creel)</w:t>
      </w:r>
    </w:p>
    <w:p>
      <w:pPr>
        <w:spacing w:after="120" w:before="0" w:line="276"/>
      </w:pPr>
      <w:r>
        <w:rPr>
          <w:sz w:val="21"/>
          <w:szCs w:val="21"/>
        </w:rPr>
        <w:t xml:space="preserve">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pPr>
        <w:pStyle w:val="Heading2"/>
        <w:spacing w:after="100" w:before="200"/>
      </w:pPr>
      <w:r>
        <w:t xml:space="preserve">3.3 Egress (ingress/egress) surveys</w:t>
      </w:r>
    </w:p>
    <w:p>
      <w:pPr>
        <w:spacing w:after="120" w:before="0" w:line="276"/>
      </w:pPr>
      <w:r>
        <w:rPr>
          <w:sz w:val="21"/>
          <w:szCs w:val="21"/>
        </w:rPr>
        <w:t xml:space="preserve">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pPr>
        <w:pStyle w:val="Heading2"/>
        <w:spacing w:after="100" w:before="200"/>
      </w:pPr>
      <w:r>
        <w:t xml:space="preserve">3.4 Wastage surveys</w:t>
      </w:r>
    </w:p>
    <w:p>
      <w:pPr>
        <w:spacing w:after="120" w:before="0" w:line="276"/>
      </w:pPr>
      <w:r>
        <w:rPr>
          <w:sz w:val="21"/>
          <w:szCs w:val="21"/>
        </w:rPr>
        <w:t xml:space="preserve">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pPr>
        <w:pStyle w:val="Heading2"/>
        <w:spacing w:after="100" w:before="200"/>
      </w:pPr>
      <w:r>
        <w:t xml:space="preserve">3.5 Shell-length sampling</w:t>
      </w:r>
    </w:p>
    <w:p>
      <w:pPr>
        <w:spacing w:after="120" w:before="0" w:line="276"/>
      </w:pPr>
      <w:r>
        <w:rPr>
          <w:sz w:val="21"/>
          <w:szCs w:val="21"/>
        </w:rPr>
        <w:t xml:space="preserve">When practical, harvested shells are measured. Length data exist for only a minority of dig events (about one sixth in the harvest database) and do not enter the harvest estimate; they support size structure and the separate stock assessment.</w:t>
      </w:r>
    </w:p>
    <w:p>
      <w:pPr>
        <w:pStyle w:val="Heading2"/>
        <w:spacing w:after="100" w:before="200"/>
      </w:pPr>
      <w:r>
        <w:t xml:space="preserve">3.6 Conditions and tidal context</w:t>
      </w:r>
    </w:p>
    <w:p>
      <w:pPr>
        <w:spacing w:after="120" w:before="0" w:line="276"/>
      </w:pPr>
      <w:r>
        <w:rPr>
          <w:sz w:val="21"/>
          <w:szCs w:val="21"/>
        </w:rPr>
        <w:t xml:space="preserve">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pPr>
        <w:pStyle w:val="Heading1"/>
        <w:spacing w:after="140" w:before="280"/>
      </w:pPr>
      <w:r>
        <w:t xml:space="preserve">4. The estimation equations</w:t>
      </w:r>
    </w:p>
    <w:p>
      <w:pPr>
        <w:spacing w:after="120" w:before="0" w:line="276"/>
      </w:pPr>
      <w:r>
        <w:rPr>
          <w:sz w:val="21"/>
          <w:szCs w:val="21"/>
        </w:rPr>
        <w:t xml:space="preserve">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pPr>
        <w:pStyle w:val="Heading2"/>
        <w:spacing w:after="100" w:before="200"/>
      </w:pPr>
      <w:r>
        <w:t xml:space="preserve">4.1 Per-event creel rates (pooled over a beach-day's interviews)</w:t>
      </w:r>
    </w:p>
    <w:p>
      <w:pPr>
        <w:spacing w:after="60" w:before="60"/>
        <w:jc w:val="center"/>
      </w:pPr>
      <w:r>
        <w:rPr>
          <w:rFonts w:ascii="Cambria" w:cs="Cambria" w:eastAsia="Cambria" w:hAnsi="Cambria"/>
          <w:i/>
          <w:iCs/>
          <w:sz w:val="21"/>
          <w:szCs w:val="21"/>
        </w:rPr>
        <w:t xml:space="preserve">CPUE_e = Σ clams_i / Σ diggers_i</w:t>
      </w:r>
    </w:p>
    <w:p>
      <w:pPr>
        <w:spacing w:after="60" w:before="60"/>
        <w:jc w:val="center"/>
      </w:pPr>
      <w:r>
        <w:rPr>
          <w:rFonts w:ascii="Cambria" w:cs="Cambria" w:eastAsia="Cambria" w:hAnsi="Cambria"/>
          <w:i/>
          <w:iCs/>
          <w:sz w:val="21"/>
          <w:szCs w:val="21"/>
        </w:rPr>
        <w:t xml:space="preserve">(1 − p)_e = Σ diggers_i / Σ people_i</w:t>
      </w:r>
    </w:p>
    <w:p>
      <w:pPr>
        <w:spacing w:after="60" w:before="60"/>
        <w:jc w:val="center"/>
      </w:pPr>
      <w:r>
        <w:rPr>
          <w:rFonts w:ascii="Cambria" w:cs="Cambria" w:eastAsia="Cambria" w:hAnsi="Cambria"/>
          <w:i/>
          <w:iCs/>
          <w:sz w:val="21"/>
          <w:szCs w:val="21"/>
        </w:rPr>
        <w:t xml:space="preserve">ppc_e = mean( people-per-car_i )        dpl_e = Σ diggers_i / Σ lanterns_i</w:t>
      </w:r>
    </w:p>
    <w:p>
      <w:pPr>
        <w:spacing w:after="120" w:before="0" w:line="276"/>
      </w:pPr>
      <w:r>
        <w:rPr>
          <w:sz w:val="21"/>
          <w:szCs w:val="21"/>
        </w:rPr>
        <w:t xml:space="preserve">where the sum is over interviews i in event e. CPUE is catch per digger; (1 − p) is the digging fraction; ppc is people per car; dpl is diggers per lantern (night tides).</w:t>
      </w:r>
    </w:p>
    <w:p>
      <w:pPr>
        <w:spacing w:after="120" w:before="0" w:line="276"/>
      </w:pPr>
      <w:r>
        <w:rPr>
          <w:b/>
          <w:bCs/>
          <w:sz w:val="21"/>
          <w:szCs w:val="21"/>
        </w:rPr>
        <w:t xml:space="preserve">Field-semantics note. </w:t>
      </w:r>
      <w:r>
        <w:rPr>
          <w:sz w:val="21"/>
          <w:szCs w:val="21"/>
        </w:rPr>
        <w:t xml:space="preserve">In the harvest database the interview field that feeds ppc stores people per car, not a vehicle count; its long-run average is the basis of the 2.67 fallback constant below.</w:t>
      </w:r>
    </w:p>
    <w:p>
      <w:pPr>
        <w:pStyle w:val="Heading2"/>
        <w:spacing w:after="100" w:before="200"/>
      </w:pPr>
      <w:r>
        <w:t xml:space="preserve">4.2 People present at each count (hierarchical)</w:t>
      </w:r>
    </w:p>
    <w:p>
      <w:pPr>
        <w:spacing w:after="120" w:before="0" w:line="276"/>
      </w:pPr>
      <w:r>
        <w:rPr>
          <w:sz w:val="21"/>
          <w:szCs w:val="21"/>
        </w:rPr>
        <w:t xml:space="preserve">A count records people directly when possible; otherwise people are inferred from whatever secondary count was taken, using the event's own ratios, in this order:</w:t>
      </w:r>
    </w:p>
    <w:p>
      <w:pPr>
        <w:spacing w:after="60" w:before="60"/>
        <w:jc w:val="center"/>
      </w:pPr>
      <w:r>
        <w:rPr>
          <w:rFonts w:ascii="Cambria" w:cs="Cambria" w:eastAsia="Cambria" w:hAnsi="Cambria"/>
          <w:i/>
          <w:iCs/>
          <w:sz w:val="21"/>
          <w:szCs w:val="21"/>
        </w:rPr>
        <w:t xml:space="preserve">CalcPeople = NPeople, else NCars × ppc_e, else NLanterns × dpl_e, else NCars × 2.67</w:t>
      </w:r>
    </w:p>
    <w:p>
      <w:pPr>
        <w:spacing w:after="120" w:before="0" w:line="276"/>
      </w:pPr>
      <w:r>
        <w:rPr>
          <w:sz w:val="21"/>
          <w:szCs w:val="21"/>
        </w:rPr>
        <w:t xml:space="preserve">The terminal constant 2.67 is the historical interview-derived average people-per-car, used only when a count has cars but no people or lantern count and the event has no creel-derived people-per-car.</w:t>
      </w:r>
    </w:p>
    <w:p>
      <w:pPr>
        <w:pStyle w:val="Heading2"/>
        <w:spacing w:after="100" w:before="200"/>
      </w:pPr>
      <w:r>
        <w:t xml:space="preserve">4.3 Expansion to effort and harvest (per count, then summed)</w:t>
      </w:r>
    </w:p>
    <w:p>
      <w:pPr>
        <w:spacing w:after="60" w:before="60"/>
        <w:jc w:val="center"/>
      </w:pPr>
      <w:r>
        <w:rPr>
          <w:rFonts w:ascii="Cambria" w:cs="Cambria" w:eastAsia="Cambria" w:hAnsi="Cambria"/>
          <w:i/>
          <w:iCs/>
          <w:sz w:val="21"/>
          <w:szCs w:val="21"/>
        </w:rPr>
        <w:t xml:space="preserve">E_total = E_t (1 − p) / CF          Harvest = E_total × CPUE</w:t>
      </w:r>
    </w:p>
    <w:p>
      <w:pPr>
        <w:spacing w:after="120" w:before="0" w:line="276"/>
      </w:pPr>
      <w:r>
        <w:rPr>
          <w:sz w:val="21"/>
          <w:szCs w:val="21"/>
        </w:rPr>
        <w:t xml:space="preserve">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pPr>
        <w:pStyle w:val="Heading2"/>
        <w:spacing w:after="100" w:before="200"/>
      </w:pPr>
      <w:r>
        <w:t xml:space="preserve">4.4 Wastage, sampling intensity, and roll-ups</w:t>
      </w:r>
    </w:p>
    <w:p>
      <w:pPr>
        <w:spacing w:after="60" w:before="60"/>
        <w:jc w:val="center"/>
      </w:pPr>
      <w:r>
        <w:rPr>
          <w:rFonts w:ascii="Cambria" w:cs="Cambria" w:eastAsia="Cambria" w:hAnsi="Cambria"/>
          <w:i/>
          <w:iCs/>
          <w:sz w:val="21"/>
          <w:szCs w:val="21"/>
        </w:rPr>
        <w:t xml:space="preserve">WastageRate_e = Σ mortalities / Σ holes          H_w = Harvest_e × WastageRate_e</w:t>
      </w:r>
    </w:p>
    <w:p>
      <w:pPr>
        <w:spacing w:after="60" w:before="60"/>
        <w:jc w:val="center"/>
      </w:pPr>
      <w:r>
        <w:rPr>
          <w:rFonts w:ascii="Cambria" w:cs="Cambria" w:eastAsia="Cambria" w:hAnsi="Cambria"/>
          <w:i/>
          <w:iCs/>
          <w:sz w:val="21"/>
          <w:szCs w:val="21"/>
        </w:rPr>
        <w:t xml:space="preserve">H_total = Harvest_e + H_w          % interviewed = Σ people / E_total</w:t>
      </w:r>
    </w:p>
    <w:p>
      <w:pPr>
        <w:spacing w:after="120" w:before="0" w:line="276"/>
      </w:pPr>
      <w:r>
        <w:rPr>
          <w:sz w:val="21"/>
          <w:szCs w:val="21"/>
        </w:rPr>
        <w:t xml:space="preserve">Wastage is applied per beach as a cumulative proportion of harvest. Percent interviewed is a sampling-intensity diagnostic, not an input. Its median across the series is 3.4 percent of estimated digger trips.</w:t>
      </w:r>
    </w:p>
    <w:p>
      <w:pPr>
        <w:pStyle w:val="Heading2"/>
        <w:spacing w:after="100" w:before="200"/>
      </w:pPr>
      <w:r>
        <w:t xml:space="preserve">4.5 Days without a count: the imputation layer</w:t>
      </w:r>
    </w:p>
    <w:p>
      <w:pPr>
        <w:spacing w:after="120" w:before="0" w:line="276"/>
      </w:pPr>
      <w:r>
        <w:rPr>
          <w:sz w:val="21"/>
          <w:szCs w:val="21"/>
        </w:rPr>
        <w:t xml:space="preserve">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pPr>
        <w:spacing w:after="60" w:before="60"/>
        <w:jc w:val="center"/>
      </w:pPr>
      <w:r>
        <w:rPr>
          <w:rFonts w:ascii="Cambria" w:cs="Cambria" w:eastAsia="Cambria" w:hAnsi="Cambria"/>
          <w:i/>
          <w:iCs/>
          <w:sz w:val="21"/>
          <w:szCs w:val="21"/>
        </w:rPr>
        <w:t xml:space="preserve">X_t = X_r × D_t / D_r</w:t>
      </w:r>
    </w:p>
    <w:p>
      <w:pPr>
        <w:spacing w:after="120" w:before="0" w:line="276"/>
      </w:pPr>
      <w:r>
        <w:rPr>
          <w:sz w:val="21"/>
          <w:szCs w:val="21"/>
        </w:rPr>
        <w:t xml:space="preserve">Where more than one beach was counted, the donors are summed before the ratio is formed:</w:t>
      </w:r>
    </w:p>
    <w:p>
      <w:pPr>
        <w:spacing w:after="60" w:before="60"/>
        <w:jc w:val="center"/>
      </w:pPr>
      <w:r>
        <w:rPr>
          <w:rFonts w:ascii="Cambria" w:cs="Cambria" w:eastAsia="Cambria" w:hAnsi="Cambria"/>
          <w:i/>
          <w:iCs/>
          <w:sz w:val="21"/>
          <w:szCs w:val="21"/>
        </w:rPr>
        <w:t xml:space="preserve">X_t = X_r × (D1_t + D2_t) / (D1_r + D2_r)</w:t>
      </w:r>
    </w:p>
    <w:p>
      <w:pPr>
        <w:spacing w:after="120" w:before="0" w:line="276"/>
      </w:pPr>
      <w:r>
        <w:rPr>
          <w:sz w:val="21"/>
          <w:szCs w:val="21"/>
        </w:rPr>
        <w:t xml:space="preserve">Harvest on such a day is then the imputed effort multiplied by a CPUE that is itself borrowed, so the entire beach-day estimate is a function of other beach-days. This is a distinct estimation layer, not a rounding detail, and it has never been documented as one.</w:t>
      </w:r>
    </w:p>
    <w:p>
      <w:pPr>
        <w:spacing w:after="120" w:before="0" w:line="276"/>
      </w:pPr>
      <w:r>
        <w:rPr>
          <w:b/>
          <w:bCs/>
          <w:sz w:val="21"/>
          <w:szCs w:val="21"/>
        </w:rPr>
        <w:t xml:space="preserve">Who borrows from whom. </w:t>
      </w:r>
      <w:r>
        <w:rPr>
          <w:sz w:val="21"/>
          <w:szCs w:val="21"/>
        </w:rPr>
        <w:t xml:space="preserve">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pPr>
        <w:spacing w:after="120" w:before="0" w:line="276"/>
      </w:pPr>
      <w:r>
        <w:rPr>
          <w:b/>
          <w:bCs/>
          <w:sz w:val="21"/>
          <w:szCs w:val="21"/>
        </w:rPr>
        <w:t xml:space="preserve">How much of the estimate this layer carries. </w:t>
      </w:r>
      <w:r>
        <w:rPr>
          <w:sz w:val="21"/>
          <w:szCs w:val="21"/>
        </w:rPr>
        <w:t xml:space="preserve">The share of coastwide effort that is a direct expansion of a count was 96 percent in 2012-13 and 2013-14 and 99.7 percent in 2017-18, and is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pPr>
        <w:keepNext/>
        <w:spacing w:after="60" w:before="140"/>
      </w:pPr>
      <w:r>
        <w:rPr>
          <w:b/>
          <w:bCs/>
          <w:sz w:val="18"/>
          <w:szCs w:val="18"/>
        </w:rPr>
        <w:t xml:space="preserve">Table 1. </w:t>
      </w:r>
      <w:r>
        <w:rPr>
          <w:i/>
          <w:iCs/>
          <w:sz w:val="18"/>
          <w:szCs w:val="18"/>
        </w:rPr>
        <w:t xml:space="preserve">Composition of the coastwide effort estimate, by season. Percentages are of coastwide digger trips.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950"/>
        <w:gridCol w:w="2535"/>
        <w:gridCol w:w="2340"/>
        <w:gridCol w:w="2535"/>
      </w:tblGrid>
      <w:tr>
        <w:trPr>
          <w:tblHeader/>
        </w:trPr>
        <w:tc>
          <w:tcPr>
            <w:tcW w:type="dxa" w:w="195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Season</w:t>
            </w:r>
          </w:p>
        </w:tc>
        <w:tc>
          <w:tcPr>
            <w:tcW w:type="dxa" w:w="253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Direct expansion of a count</w:t>
            </w:r>
          </w:p>
        </w:tc>
        <w:tc>
          <w:tcPr>
            <w:tcW w:type="dxa" w:w="234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Long Beach section ratio</w:t>
            </w:r>
          </w:p>
        </w:tc>
        <w:tc>
          <w:tcPr>
            <w:tcW w:type="dxa" w:w="253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Borrowed from another beach</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2012-13</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96%</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4%</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2013-14</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94%</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6%</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2016-17</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92%</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8%</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2017-18</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99.7%</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0.3%</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2019-20</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54%</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9%</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36%</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2021-22</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60%</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2022-23</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67%</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14%</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2023-24</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64%</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11%</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25%</w:t>
            </w:r>
          </w:p>
        </w:tc>
      </w:tr>
      <w:tr>
        <w:tc>
          <w:tcPr>
            <w:tcW w:type="dxa" w:w="1950"/>
            <w:tcMar>
              <w:top w:type="dxa" w:w="50"/>
              <w:left w:type="dxa" w:w="80"/>
              <w:bottom w:type="dxa" w:w="50"/>
              <w:right w:type="dxa" w:w="80"/>
            </w:tcMar>
          </w:tcPr>
          <w:p>
            <w:pPr>
              <w:spacing w:after="0" w:before="0" w:line="240"/>
            </w:pPr>
            <w:r>
              <w:rPr>
                <w:b w:val="false"/>
                <w:bCs w:val="false"/>
                <w:i w:val="false"/>
                <w:iCs w:val="false"/>
                <w:sz w:val="17"/>
                <w:szCs w:val="17"/>
              </w:rPr>
              <w:t xml:space="preserve">2024-25</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60%</w:t>
            </w:r>
          </w:p>
        </w:tc>
        <w:tc>
          <w:tcPr>
            <w:tcW w:type="dxa" w:w="234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11%</w:t>
            </w:r>
          </w:p>
        </w:tc>
        <w:tc>
          <w:tcPr>
            <w:tcW w:type="dxa" w:w="2535"/>
            <w:tcMar>
              <w:top w:type="dxa" w:w="50"/>
              <w:left w:type="dxa" w:w="80"/>
              <w:bottom w:type="dxa" w:w="50"/>
              <w:right w:type="dxa" w:w="80"/>
            </w:tcMar>
          </w:tcPr>
          <w:p>
            <w:pPr>
              <w:spacing w:after="0" w:before="0" w:line="240"/>
              <w:jc w:val="center"/>
            </w:pPr>
            <w:r>
              <w:rPr>
                <w:b w:val="false"/>
                <w:bCs w:val="false"/>
                <w:i w:val="false"/>
                <w:iCs w:val="false"/>
                <w:sz w:val="17"/>
                <w:szCs w:val="17"/>
              </w:rPr>
              <w:t xml:space="preserve">29%</w:t>
            </w:r>
          </w:p>
        </w:tc>
      </w:tr>
      <w:tr>
        <w:tc>
          <w:tcPr>
            <w:tcW w:type="dxa" w:w="1950"/>
            <w:shd w:fill="F5F7F9" w:color="auto" w:val="clear"/>
            <w:tcMar>
              <w:top w:type="dxa" w:w="50"/>
              <w:left w:type="dxa" w:w="80"/>
              <w:bottom w:type="dxa" w:w="50"/>
              <w:right w:type="dxa" w:w="80"/>
            </w:tcMar>
          </w:tcPr>
          <w:p>
            <w:pPr>
              <w:spacing w:after="0" w:before="0" w:line="240"/>
            </w:pPr>
            <w:r>
              <w:rPr>
                <w:b w:val="false"/>
                <w:bCs w:val="false"/>
                <w:i w:val="false"/>
                <w:iCs w:val="false"/>
                <w:sz w:val="17"/>
                <w:szCs w:val="17"/>
              </w:rPr>
              <w:t xml:space="preserve">2025-26</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58%</w:t>
            </w:r>
          </w:p>
        </w:tc>
        <w:tc>
          <w:tcPr>
            <w:tcW w:type="dxa" w:w="234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w:t>
            </w:r>
          </w:p>
        </w:tc>
        <w:tc>
          <w:tcPr>
            <w:tcW w:type="dxa" w:w="2535"/>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32%</w:t>
            </w:r>
          </w:p>
        </w:tc>
      </w:tr>
    </w:tbl>
    <w:p>
      <w:pPr>
        <w:spacing w:after="180" w:before="60"/>
      </w:pPr>
      <w:r>
        <w:rPr>
          <w:i/>
          <w:iCs/>
          <w:color w:val="595959"/>
          <w:sz w:val="17"/>
          <w:szCs w:val="17"/>
        </w:rPr>
        <w:t xml:space="preserve">The 2017-18 row is computed from the FINAL printout and the harvest database, because the 2017-18 Effort tab is a mid-season snapshot holding 10 of 27 dig days (section 6.2). Its single borrowed beach-day is Twin Harbors on 4 December 2017, 692 of 257,003 coastwide digger trips. The 2022-23 row is computed on the 62 dig days the workbook holds; the workbook omits the May 2023 tide series entirely, so the row describes part of a season (section 9).</w:t>
      </w:r>
    </w:p>
    <w:p>
      <w:pPr>
        <w:spacing w:after="120" w:before="0" w:line="276"/>
      </w:pPr>
      <w:r>
        <w:rPr>
          <w:sz w:val="21"/>
          <w:szCs w:val="21"/>
        </w:rPr>
        <w:t xml:space="preserve">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 Two of its points had to be rebuilt for this version: 2017-18, whose Effort tab is a snapshot, is computed against the FINAL printout; and 2022-23 and 2023-24, whose database beach-days do not all appear in their Effort tabs, are computed on the beach-days the two sources share.</w:t>
      </w:r>
    </w:p>
    <w:p>
      <w:pPr>
        <w:keepNext/>
        <w:spacing w:after="40" w:before="120"/>
        <w:jc w:val="center"/>
      </w:pPr>
      <w:r>
        <w:drawing>
          <wp:inline distT="0" distB="0" distL="0" distR="0">
            <wp:extent cx="5715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09975"/>
                    </a:xfrm>
                    <a:prstGeom prst="rect">
                      <a:avLst/>
                    </a:prstGeom>
                  </pic:spPr>
                </pic:pic>
              </a:graphicData>
            </a:graphic>
          </wp:inline>
        </w:drawing>
      </w:r>
    </w:p>
    <w:p>
      <w:pPr>
        <w:spacing w:after="180"/>
        <w:jc w:val="left"/>
      </w:pPr>
      <w:r>
        <w:rPr>
          <w:b/>
          <w:bCs/>
          <w:sz w:val="18"/>
          <w:szCs w:val="18"/>
        </w:rPr>
        <w:t xml:space="preserve">Figure 4. </w:t>
      </w:r>
      <w:r>
        <w:rPr>
          <w:i/>
          <w:iCs/>
          <w:sz w:val="18"/>
          <w:szCs w:val="18"/>
        </w:rPr>
        <w:t xml:space="preserve">Share of each season's Effort-tab season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expansion of a counted day exceeds the value the workbook typed. Circled points are the two seasons rebuilt for version 5: 2017-18 against the FINAL printout, where 66 of 67 open beach-days carry a census; and 2022-23, where the share is computed only on the part of the season the workbook holds, since the May 2023 tide series is absent from it.</w:t>
      </w:r>
    </w:p>
    <w:p>
      <w:pPr>
        <w:spacing w:after="120" w:before="0" w:line="276"/>
      </w:pPr>
      <w:r>
        <w:rPr>
          <w:b/>
          <w:bCs/>
          <w:sz w:val="21"/>
          <w:szCs w:val="21"/>
        </w:rPr>
        <w:t xml:space="preserve">Three properties of this layer that should be recorded. </w:t>
      </w:r>
      <w:r>
        <w:rPr>
          <w:sz w:val="21"/>
          <w:szCs w:val="21"/>
        </w:rPr>
        <w:t xml:space="preserve">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pPr>
        <w:spacing w:after="120" w:before="0" w:line="276"/>
      </w:pPr>
      <w:r>
        <w:rPr>
          <w:sz w:val="21"/>
          <w:szCs w:val="21"/>
        </w:rPr>
        <w:t xml:space="preserve">Estimated beach-days are flagged with an asterisk in the season workbooks and must be carried as estimates, not as measurements. The companion dig-day register lists every one of them with its donor, its reference day, and the exact formula used.</w:t>
      </w:r>
    </w:p>
    <w:p>
      <w:pPr>
        <w:spacing w:after="120" w:before="0" w:line="276"/>
      </w:pPr>
      <w:r>
        <w:rPr>
          <w:b/>
          <w:bCs/>
          <w:sz w:val="21"/>
          <w:szCs w:val="21"/>
        </w:rPr>
        <w:t xml:space="preserve">The rule now has an error model, and a bias correction. </w:t>
      </w:r>
      <w:r>
        <w:rPr>
          <w:sz w:val="21"/>
          <w:szCs w:val="21"/>
        </w:rPr>
        <w:t xml:space="preserve">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pPr>
        <w:spacing w:after="120" w:before="0" w:line="276"/>
      </w:pPr>
      <w:r>
        <w:rPr>
          <w:b/>
          <w:bCs/>
          <w:sz w:val="21"/>
          <w:szCs w:val="21"/>
        </w:rPr>
        <w:t xml:space="preserve">CPUE on an estimated beach-day is typed by hand. </w:t>
      </w:r>
      <w:r>
        <w:rPr>
          <w:sz w:val="21"/>
          <w:szCs w:val="21"/>
        </w:rPr>
        <w:t xml:space="preserve">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pPr>
        <w:pStyle w:val="Heading2"/>
        <w:spacing w:after="100" w:before="200"/>
      </w:pPr>
      <w:r>
        <w:t xml:space="preserve">4.6 Notation</w:t>
      </w:r>
    </w:p>
    <w:p>
      <w:pPr>
        <w:keepNext/>
        <w:spacing w:after="60" w:before="140"/>
      </w:pPr>
      <w:r>
        <w:rPr>
          <w:b/>
          <w:bCs/>
          <w:sz w:val="18"/>
          <w:szCs w:val="18"/>
        </w:rPr>
        <w:t xml:space="preserve">Table 2. </w:t>
      </w:r>
      <w:r>
        <w:rPr>
          <w:i/>
          <w:iCs/>
          <w:sz w:val="18"/>
          <w:szCs w:val="18"/>
        </w:rPr>
        <w:t xml:space="preserve">Notation used throughout this document.</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800"/>
        <w:gridCol w:w="7560"/>
      </w:tblGrid>
      <w:tr>
        <w:trPr>
          <w:tblHeader/>
        </w:trPr>
        <w:tc>
          <w:tcPr>
            <w:tcW w:type="dxa" w:w="18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Symbol</w:t>
            </w:r>
          </w:p>
        </w:tc>
        <w:tc>
          <w:tcPr>
            <w:tcW w:type="dxa" w:w="75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Meaning</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CPUE</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Clams per digger, from interviews (catch per unit effort)</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1 − p</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Digging fraction: interviewed people who were actually digging</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ppc, dpl</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People per car; diggers per lantern (event-level interview ratios)</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CalcPeople</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People present at a count (direct, or inferred from cars or lanterns)</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E_t</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Diggers present at the count = CalcPeople × (1 − p)</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CF = R_t</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Mean fraction of the day's effort present during the count window (approximately 0.5)</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E_total</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Estimated total digger trips for a beach-day</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H_total</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Total clams harvested including wastage</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H_w</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Estimated wasted clams</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W</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Wastage proportion (mortalities / holes)</w:t>
            </w:r>
          </w:p>
        </w:tc>
      </w:tr>
      <w:tr>
        <w:tc>
          <w:tcPr>
            <w:tcW w:type="dxa" w:w="1800"/>
            <w:tcMar>
              <w:top w:type="dxa" w:w="50"/>
              <w:left w:type="dxa" w:w="80"/>
              <w:bottom w:type="dxa" w:w="50"/>
              <w:right w:type="dxa" w:w="80"/>
            </w:tcMar>
          </w:tcPr>
          <w:p>
            <w:pPr>
              <w:spacing w:after="0" w:before="0" w:line="240"/>
            </w:pPr>
            <w:r>
              <w:rPr>
                <w:b/>
                <w:bCs/>
                <w:i w:val="false"/>
                <w:iCs w:val="false"/>
                <w:sz w:val="17"/>
                <w:szCs w:val="17"/>
              </w:rPr>
              <w:t xml:space="preserve">u</w:t>
            </w:r>
          </w:p>
        </w:tc>
        <w:tc>
          <w:tcPr>
            <w:tcW w:type="dxa" w:w="75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Share of a season's harvest that is imputed rather than expanded from a count</w:t>
            </w:r>
          </w:p>
        </w:tc>
      </w:tr>
      <w:tr>
        <w:tc>
          <w:tcPr>
            <w:tcW w:type="dxa" w:w="18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n, m</w:t>
            </w:r>
          </w:p>
        </w:tc>
        <w:tc>
          <w:tcPr>
            <w:tcW w:type="dxa" w:w="7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Open days in a tide series; days of that series on which a count was taken</w:t>
            </w:r>
          </w:p>
        </w:tc>
      </w:tr>
    </w:tbl>
    <w:p>
      <w:pPr>
        <w:spacing w:after="120"/>
      </w:pPr>
    </w:p>
    <w:p>
      <w:pPr>
        <w:pStyle w:val="Heading1"/>
        <w:spacing w:after="140" w:before="280"/>
      </w:pPr>
      <w:r>
        <w:t xml:space="preserve">5. The correction factor in depth</w:t>
      </w:r>
    </w:p>
    <w:p>
      <w:pPr>
        <w:pStyle w:val="Heading2"/>
        <w:spacing w:after="100" w:before="200"/>
      </w:pPr>
      <w:r>
        <w:t xml:space="preserve">5.1 From egress survey to the percent-available curve</w:t>
      </w:r>
    </w:p>
    <w:p>
      <w:pPr>
        <w:spacing w:after="120" w:before="0" w:line="276"/>
      </w:pPr>
      <w:r>
        <w:rPr>
          <w:sz w:val="21"/>
          <w:szCs w:val="21"/>
        </w:rPr>
        <w:t xml:space="preserve">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pPr>
        <w:spacing w:after="60" w:before="60"/>
        <w:jc w:val="center"/>
      </w:pPr>
      <w:r>
        <w:rPr>
          <w:rFonts w:ascii="Cambria" w:cs="Cambria" w:eastAsia="Cambria" w:hAnsi="Cambria"/>
          <w:i/>
          <w:iCs/>
          <w:sz w:val="21"/>
          <w:szCs w:val="21"/>
        </w:rPr>
        <w:t xml:space="preserve">CF = R_t = mean of (percent available) over the count's bins</w:t>
      </w:r>
    </w:p>
    <w:p>
      <w:pPr>
        <w:spacing w:after="120" w:before="0" w:line="276"/>
      </w:pPr>
      <w:r>
        <w:rPr>
          <w:sz w:val="21"/>
          <w:szCs w:val="21"/>
        </w:rPr>
        <w:t xml:space="preserve">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pPr>
        <w:keepNext/>
        <w:spacing w:after="40" w:before="12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00400"/>
                    </a:xfrm>
                    <a:prstGeom prst="rect">
                      <a:avLst/>
                    </a:prstGeom>
                  </pic:spPr>
                </pic:pic>
              </a:graphicData>
            </a:graphic>
          </wp:inline>
        </w:drawing>
      </w:r>
    </w:p>
    <w:p>
      <w:pPr>
        <w:spacing w:after="180"/>
        <w:jc w:val="left"/>
      </w:pPr>
      <w:r>
        <w:rPr>
          <w:b/>
          <w:bCs/>
          <w:sz w:val="18"/>
          <w:szCs w:val="18"/>
        </w:rPr>
        <w:t xml:space="preserve">Figure 5. </w:t>
      </w:r>
      <w:r>
        <w:rPr>
          <w:i/>
          <w:iCs/>
          <w:sz w:val="18"/>
          <w:szCs w:val="18"/>
        </w:rPr>
        <w:t xml:space="preserve">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pPr>
        <w:pStyle w:val="Heading2"/>
        <w:spacing w:after="100" w:before="200"/>
      </w:pPr>
      <w:r>
        <w:t xml:space="preserve">5.2 Condition-specific tables and how the condition is chosen</w:t>
      </w:r>
    </w:p>
    <w:p>
      <w:pPr>
        <w:spacing w:after="120" w:before="0" w:line="276"/>
      </w:pPr>
      <w:r>
        <w:rPr>
          <w:sz w:val="21"/>
          <w:szCs w:val="21"/>
        </w:rPr>
        <w:t xml:space="preserve">The correction factor is not a single number per beach. Separate tables exist by light condition and by weather, because the effort curve differs between them. Two independent dimensions select the table:</w:t>
      </w:r>
    </w:p>
    <w:p>
      <w:pPr>
        <w:pStyle w:val="ListParagraph"/>
        <w:numPr>
          <w:ilvl w:val="0"/>
          <w:numId w:val="1"/>
        </w:numPr>
        <w:spacing w:after="60" w:line="276"/>
      </w:pPr>
      <w:r>
        <w:rPr>
          <w:b/>
          <w:bCs/>
          <w:sz w:val="21"/>
          <w:szCs w:val="21"/>
        </w:rPr>
        <w:t xml:space="preserve">Light. </w:t>
      </w:r>
      <w:r>
        <w:rPr>
          <w:sz w:val="21"/>
          <w:szCs w:val="21"/>
        </w:rPr>
        <w:t xml:space="preserve">Daylight versus near-dark (evening), set by the low-tide time relative to sunset and last light. Fall evening tide series use the near-dark table; spring morning series use the daylight table.</w:t>
      </w:r>
    </w:p>
    <w:p>
      <w:pPr>
        <w:pStyle w:val="ListParagraph"/>
        <w:numPr>
          <w:ilvl w:val="0"/>
          <w:numId w:val="1"/>
        </w:numPr>
        <w:spacing w:after="60" w:line="276"/>
      </w:pPr>
      <w:r>
        <w:rPr>
          <w:b/>
          <w:bCs/>
          <w:sz w:val="21"/>
          <w:szCs w:val="21"/>
        </w:rPr>
        <w:t xml:space="preserve">Weather. </w:t>
      </w:r>
      <w:r>
        <w:rPr>
          <w:sz w:val="21"/>
          <w:szCs w:val="21"/>
        </w:rPr>
        <w:t xml:space="preserve">Good versus poor, set by the recorded surf, precipitation, and wind. High surf, moderate or heavier rain, or strong wind select a poor-weather table where one exists.</w:t>
      </w:r>
    </w:p>
    <w:p>
      <w:pPr>
        <w:spacing w:after="120" w:before="60" w:line="276"/>
      </w:pPr>
      <w:r>
        <w:rPr>
          <w:sz w:val="21"/>
          <w:szCs w:val="21"/>
        </w:rPr>
        <w:t xml:space="preserve">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pPr>
        <w:spacing w:after="120" w:before="0" w:line="276"/>
      </w:pPr>
      <w:r>
        <w:rPr>
          <w:sz w:val="21"/>
          <w:szCs w:val="21"/>
        </w:rPr>
        <w:t xml:space="preserve">That gap is not cosmetic. Long Beach and Twin Harbors have four daylight egress surveys each, and every spring morning opener at those beaches is nonetheless expanded with an evening table or with an undocumented factor.</w:t>
      </w:r>
    </w:p>
    <w:p>
      <w:pPr>
        <w:pStyle w:val="Heading2"/>
        <w:spacing w:after="100" w:before="200"/>
      </w:pPr>
      <w:r>
        <w:t xml:space="preserve">5.3 Reference count time and timing sensitivity</w:t>
      </w:r>
    </w:p>
    <w:p>
      <w:pPr>
        <w:spacing w:after="120" w:before="0" w:line="276"/>
      </w:pPr>
      <w:r>
        <w:rPr>
          <w:sz w:val="21"/>
          <w:szCs w:val="21"/>
        </w:rPr>
        <w:t xml:space="preserve">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pPr>
        <w:spacing w:after="120" w:before="0" w:line="276"/>
      </w:pPr>
      <w:r>
        <w:rPr>
          <w:sz w:val="21"/>
          <w:szCs w:val="21"/>
        </w:rPr>
        <w:t xml:space="preserve">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pPr>
        <w:keepNext/>
        <w:spacing w:after="40" w:before="12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90850"/>
                    </a:xfrm>
                    <a:prstGeom prst="rect">
                      <a:avLst/>
                    </a:prstGeom>
                  </pic:spPr>
                </pic:pic>
              </a:graphicData>
            </a:graphic>
          </wp:inline>
        </w:drawing>
      </w:r>
    </w:p>
    <w:p>
      <w:pPr>
        <w:spacing w:after="180"/>
        <w:jc w:val="left"/>
      </w:pPr>
      <w:r>
        <w:rPr>
          <w:b/>
          <w:bCs/>
          <w:sz w:val="18"/>
          <w:szCs w:val="18"/>
        </w:rPr>
        <w:t xml:space="preserve">Figure 6. </w:t>
      </w:r>
      <w:r>
        <w:rPr>
          <w:i/>
          <w:iCs/>
          <w:sz w:val="18"/>
          <w:szCs w:val="18"/>
        </w:rPr>
        <w:t xml:space="preserve">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pPr>
        <w:pStyle w:val="Heading2"/>
        <w:spacing w:after="100" w:before="200"/>
      </w:pPr>
      <w:r>
        <w:t xml:space="preserve">5.4 Long Beach: two counts, two correction factors, and a second imputation</w:t>
      </w:r>
    </w:p>
    <w:p>
      <w:pPr>
        <w:spacing w:after="120" w:before="0" w:line="276"/>
      </w:pPr>
      <w:r>
        <w:rPr>
          <w:sz w:val="21"/>
          <w:szCs w:val="21"/>
        </w:rPr>
        <w:t xml:space="preserve">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pPr>
        <w:spacing w:after="120" w:before="0" w:line="276"/>
      </w:pPr>
      <w:r>
        <w:rPr>
          <w:sz w:val="21"/>
          <w:szCs w:val="21"/>
        </w:rPr>
        <w:t xml:space="preserve">On many days only one half is walked. The workbook then scales the unwalked half by the ratio of the two halves on a reference day when both were walked. With a and b the two halves' expanded effort on the reference day and X the half walked today, the cell computes:</w:t>
      </w:r>
    </w:p>
    <w:p>
      <w:pPr>
        <w:spacing w:after="60" w:before="60"/>
        <w:jc w:val="center"/>
      </w:pPr>
      <w:r>
        <w:rPr>
          <w:rFonts w:ascii="Cambria" w:cs="Cambria" w:eastAsia="Cambria" w:hAnsi="Cambria"/>
          <w:i/>
          <w:iCs/>
          <w:sz w:val="21"/>
          <w:szCs w:val="21"/>
        </w:rPr>
        <w:t xml:space="preserve">LB_t = (a / b) × X + X</w:t>
      </w:r>
    </w:p>
    <w:p>
      <w:pPr>
        <w:spacing w:after="120" w:before="0" w:line="276"/>
      </w:pPr>
      <w:r>
        <w:rPr>
          <w:sz w:val="21"/>
          <w:szCs w:val="21"/>
        </w:rPr>
        <w:t xml:space="preserve">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pPr>
        <w:spacing w:after="120" w:before="0" w:line="276"/>
      </w:pPr>
      <w:r>
        <w:rPr>
          <w:sz w:val="21"/>
          <w:szCs w:val="21"/>
        </w:rPr>
        <w:t xml:space="preserve">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pPr>
        <w:pStyle w:val="Heading2"/>
        <w:spacing w:after="100" w:before="200"/>
      </w:pPr>
      <w:r>
        <w:t xml:space="preserve">5.5 Recovering the count window from the correction factor</w:t>
      </w:r>
    </w:p>
    <w:p>
      <w:pPr>
        <w:spacing w:after="120" w:before="0" w:line="276"/>
      </w:pPr>
      <w:r>
        <w:rPr>
          <w:sz w:val="21"/>
          <w:szCs w:val="21"/>
        </w:rPr>
        <w:t xml:space="preserve">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pPr>
        <w:spacing w:after="120" w:before="0" w:line="276"/>
      </w:pPr>
      <w:r>
        <w:rPr>
          <w:sz w:val="21"/>
          <w:szCs w:val="21"/>
        </w:rPr>
        <w:t xml:space="preserve">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pPr>
        <w:spacing w:after="120" w:before="0" w:line="276"/>
      </w:pPr>
      <w:r>
        <w:rPr>
          <w:sz w:val="21"/>
          <w:szCs w:val="21"/>
        </w:rPr>
        <w:t xml:space="preserve">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pPr>
        <w:keepNext/>
        <w:spacing w:after="40" w:before="120"/>
        <w:jc w:val="center"/>
      </w:pPr>
      <w:r>
        <w:drawing>
          <wp:inline distT="0" distB="0" distL="0" distR="0">
            <wp:extent cx="5715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467100"/>
                    </a:xfrm>
                    <a:prstGeom prst="rect">
                      <a:avLst/>
                    </a:prstGeom>
                  </pic:spPr>
                </pic:pic>
              </a:graphicData>
            </a:graphic>
          </wp:inline>
        </w:drawing>
      </w:r>
    </w:p>
    <w:p>
      <w:pPr>
        <w:spacing w:after="180"/>
        <w:jc w:val="left"/>
      </w:pPr>
      <w:r>
        <w:rPr>
          <w:b/>
          <w:bCs/>
          <w:sz w:val="18"/>
          <w:szCs w:val="18"/>
        </w:rPr>
        <w:t xml:space="preserve">Figure 7. </w:t>
      </w:r>
      <w:r>
        <w:rPr>
          <w:i/>
          <w:iCs/>
          <w:sz w:val="18"/>
          <w:szCs w:val="18"/>
        </w:rPr>
        <w:t xml:space="preserve">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pPr>
        <w:spacing w:after="120" w:before="0" w:line="276"/>
      </w:pPr>
      <w:r>
        <w:rPr>
          <w:b/>
          <w:bCs/>
          <w:sz w:val="21"/>
          <w:szCs w:val="21"/>
        </w:rPr>
        <w:t xml:space="preserve">A note on an inconsistency with version 3. </w:t>
      </w:r>
      <w:r>
        <w:rPr>
          <w:sz w:val="21"/>
          <w:szCs w:val="21"/>
        </w:rPr>
        <w:t xml:space="preserve">Version 3 of this document reported this spread as 0.17 to 0.28 before the 2013 correction, 0.10 to 0.13 from 2013-14 to 2022-23, and 0.039 to 0.052 from 2023-24 onward. Those numbers cannot be reproduced from the recomputed event table on any stated basis, and the basis was not stated. The values in Figure 7 and in the paragraph above are computed as described in the caption and are reproducible from the companion pipeline output. The qualitative conclusion, that standardized logging roughly halved the within-season spread, is unchanged.</w:t>
      </w:r>
    </w:p>
    <w:p>
      <w:pPr>
        <w:spacing w:after="120" w:before="0" w:line="276"/>
      </w:pPr>
      <w:r>
        <w:rPr>
          <w:b/>
          <w:bCs/>
          <w:sz w:val="21"/>
          <w:szCs w:val="21"/>
        </w:rPr>
        <w:t xml:space="preserve">The correction factor also has a sampling error, and it is the largest single term in the budget. </w:t>
      </w:r>
      <w:r>
        <w:rPr>
          <w:sz w:val="21"/>
          <w:szCs w:val="21"/>
        </w:rPr>
        <w:t xml:space="preserve">Each operational evening table is pooled from three egress surveys, four at Mocrocks. Resampling those surveys with replacement, re-pooling the raw car counts, recomputing the percent-available curve and taking its mean over the count window gives the sampling distribution of the correction factor. Over the five central count windows actually used, the relative standard deviation is 4.5 to 7.3 percent at Long Beach, 4.3 to 5.2 percent at Twin Harbors, 3.7 to 6.9 percent at Mocrocks, and 12.4 to 13.7 percent at Copalis. It rises above 20 percent for windows far from the effort peak (Figure 6). Effort is proportional to the reciprocal of the correction factor, so this translates directly into effort, and it is systematic: every beach-day expanded with the same table moves together.</w:t>
      </w:r>
    </w:p>
    <w:p>
      <w:pPr>
        <w:pStyle w:val="Heading2"/>
        <w:spacing w:after="100" w:before="200"/>
      </w:pPr>
      <w:r>
        <w:t xml:space="preserve">5.6 The survey record behind the tables</w:t>
      </w:r>
    </w:p>
    <w:p>
      <w:pPr>
        <w:spacing w:after="120" w:before="0" w:line="276"/>
      </w:pPr>
      <w:r>
        <w:rPr>
          <w:sz w:val="21"/>
          <w:szCs w:val="21"/>
        </w:rPr>
        <w:t xml:space="preserve">The expansion tables are the load-bearing element of the whole method, and they rest on a survey record that is far thinner than the tables' apparent precision suggests. Every ingress and egress source in the project file set, together with the ingress/egress Access database, has been consolidated into a single workbook. It contains 44 survey records covering 27 distinct surveys across 33 years: six at Long Beach, seven at Twin Harbors, six at Copalis, eight at Mocrocks, and none at Kalaloch. There are no surveys at all between 2012 and 2021, yet all four evening tables were revised in that window.</w:t>
      </w:r>
    </w:p>
    <w:p>
      <w:pPr>
        <w:keepNext/>
        <w:spacing w:after="40" w:before="12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09825"/>
                    </a:xfrm>
                    <a:prstGeom prst="rect">
                      <a:avLst/>
                    </a:prstGeom>
                  </pic:spPr>
                </pic:pic>
              </a:graphicData>
            </a:graphic>
          </wp:inline>
        </w:drawing>
      </w:r>
    </w:p>
    <w:p>
      <w:pPr>
        <w:spacing w:after="180"/>
        <w:jc w:val="left"/>
      </w:pPr>
      <w:r>
        <w:rPr>
          <w:b/>
          <w:bCs/>
          <w:sz w:val="18"/>
          <w:szCs w:val="18"/>
        </w:rPr>
        <w:t xml:space="preserve">Figure 8. </w:t>
      </w:r>
      <w:r>
        <w:rPr>
          <w:i/>
          <w:iCs/>
          <w:sz w:val="18"/>
          <w:szCs w:val="18"/>
        </w:rPr>
        <w:t xml:space="preserve">Every located egress survey, by beach and year. Marker area is proportional to the number of surveys in that beach-year. Kalaloch has never been surveyed; the table labelled Kalaloch is the Mocrocks survey of 1 April 1998. No survey exists between 2012 and 2021, yet the Long Beach, Copalis and Mocrocks evening tables were all refined in that period.</w:t>
      </w:r>
    </w:p>
    <w:p>
      <w:pPr>
        <w:keepNext/>
        <w:spacing w:after="60" w:before="140"/>
      </w:pPr>
      <w:r>
        <w:rPr>
          <w:b/>
          <w:bCs/>
          <w:sz w:val="18"/>
          <w:szCs w:val="18"/>
        </w:rPr>
        <w:t xml:space="preserve">Table 3. </w:t>
      </w:r>
      <w:r>
        <w:rPr>
          <w:i/>
          <w:iCs/>
          <w:sz w:val="18"/>
          <w:szCs w:val="18"/>
        </w:rPr>
        <w:t xml:space="preserve">The located egress survey record, by beach. Counts are distinct surveys flagged for pooling.</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1000"/>
        <w:gridCol w:w="1000"/>
        <w:gridCol w:w="1000"/>
        <w:gridCol w:w="2660"/>
        <w:gridCol w:w="220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Surveys</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Daylight</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Evening</w:t>
            </w:r>
          </w:p>
        </w:tc>
        <w:tc>
          <w:tcPr>
            <w:tcW w:type="dxa" w:w="26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Years surveyed</w:t>
            </w:r>
          </w:p>
        </w:tc>
        <w:tc>
          <w:tcPr>
            <w:tcW w:type="dxa" w:w="22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Surveys behind the operational evening table</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Long Beach</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6</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c>
          <w:tcPr>
            <w:tcW w:type="dxa" w:w="26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1998, 2004 (2), 2009, 2011 (2)</w:t>
            </w:r>
          </w:p>
        </w:tc>
        <w:tc>
          <w:tcPr>
            <w:tcW w:type="dxa" w:w="22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Twin Harbors</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7</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w:t>
            </w:r>
          </w:p>
        </w:tc>
        <w:tc>
          <w:tcPr>
            <w:tcW w:type="dxa" w:w="2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1998, 2004, 2010, 2011 (4)</w:t>
            </w:r>
          </w:p>
        </w:tc>
        <w:tc>
          <w:tcPr>
            <w:tcW w:type="dxa" w:w="22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Copalis</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6</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4</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2</w:t>
            </w:r>
          </w:p>
        </w:tc>
        <w:tc>
          <w:tcPr>
            <w:tcW w:type="dxa" w:w="26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2004, 2008, 2010, 2011, 2022, 2023</w:t>
            </w:r>
          </w:p>
        </w:tc>
        <w:tc>
          <w:tcPr>
            <w:tcW w:type="dxa" w:w="22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Mocrocks</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8</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w:t>
            </w:r>
          </w:p>
        </w:tc>
        <w:tc>
          <w:tcPr>
            <w:tcW w:type="dxa" w:w="2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1998, 2004, 2006, 2008, 2010, 2011, 2022, 2023</w:t>
            </w:r>
          </w:p>
        </w:tc>
        <w:tc>
          <w:tcPr>
            <w:tcW w:type="dxa" w:w="22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4</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Kalaloch</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w:t>
            </w:r>
          </w:p>
        </w:tc>
        <w:tc>
          <w:tcPr>
            <w:tcW w:type="dxa" w:w="26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22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 the table is a Mocrocks survey</w:t>
            </w:r>
          </w:p>
        </w:tc>
      </w:tr>
    </w:tbl>
    <w:p>
      <w:pPr>
        <w:spacing w:after="180" w:before="60"/>
      </w:pPr>
      <w:r>
        <w:rPr>
          <w:i/>
          <w:iCs/>
          <w:color w:val="595959"/>
          <w:sz w:val="17"/>
          <w:szCs w:val="17"/>
        </w:rPr>
        <w:t xml:space="preserve">The 1990 Long Beach record is excluded because its counts are identical, value for value, to the 1998 record (section 9, defects in the egress survey record, issue 6).</w:t>
      </w:r>
    </w:p>
    <w:p>
      <w:pPr>
        <w:spacing w:after="120" w:before="0" w:line="276"/>
      </w:pPr>
      <w:r>
        <w:rPr>
          <w:sz w:val="21"/>
          <w:szCs w:val="21"/>
        </w:rPr>
        <w:t xml:space="preserve">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pPr>
        <w:keepNext/>
        <w:spacing w:after="60" w:before="140"/>
      </w:pPr>
      <w:r>
        <w:rPr>
          <w:b/>
          <w:bCs/>
          <w:sz w:val="18"/>
          <w:szCs w:val="18"/>
        </w:rPr>
        <w:t xml:space="preserve">Table 4. </w:t>
      </w:r>
      <w:r>
        <w:rPr>
          <w:i/>
          <w:iCs/>
          <w:sz w:val="18"/>
          <w:szCs w:val="18"/>
        </w:rPr>
        <w:t xml:space="preserve">Provenance and verification of every located expansion table.</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150"/>
        <w:gridCol w:w="1500"/>
        <w:gridCol w:w="2450"/>
        <w:gridCol w:w="4260"/>
      </w:tblGrid>
      <w:tr>
        <w:trPr>
          <w:tblHeader/>
        </w:trPr>
        <w:tc>
          <w:tcPr>
            <w:tcW w:type="dxa" w:w="115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5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Table</w:t>
            </w:r>
          </w:p>
        </w:tc>
        <w:tc>
          <w:tcPr>
            <w:tcW w:type="dxa" w:w="24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Component surveys</w:t>
            </w:r>
          </w:p>
        </w:tc>
        <w:tc>
          <w:tcPr>
            <w:tcW w:type="dxa" w:w="42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Verification</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Long Beach</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2011-01-25</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2011-01-21 PM + 2009-01-10 PM</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All 23 bins reproduce. Totals 1,252 on / 1,217 off.</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Long Beach</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2013-02-11</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2011-01-25 table + one unlocated evening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Residual non-negative in every bin: 585 on, 555 off.</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Twin Harbors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2011-01-25</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2011-01-22 PM alone</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Single survey. Totals 245 on / 219 off.</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Twin Harbors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2013-09-24</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2011-01-22 + 2011-02-17 + one unlocated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Priors summed, not folded. Residual non-negative.</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2008-11-13 PM + 2010-10-08 PM</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but only if the 2008 prior-to-start (16 on) is folded into the 3:15 to 3:00 bin.</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2012-12-19</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 table + one unlocated evening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Residual non-negative: 142 on, 137 off.</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2006-11-04 + 2008-11-13 + 2010-10-09 PM</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 Also recovers the 2010 survey's true three-bin split, which the database collapsed into one cell.</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2013-09-18</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2010-11-03 table + one unlocated evening survey</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Partly verified. Residual non-negative: 119 on, 106 off.</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daylight</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2004-04-23 alone</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 of 19 bins match to 1e-9. One hand-appended value has no survey behind it.</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Copalis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near dark</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2008-11-13 alone</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All 17 bins match to 1e-9.</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daylight</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2004-04-24 alone</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17 bins match to 1e-9. Four hand-appended tail values have no survey behind them.</w:t>
            </w:r>
          </w:p>
        </w:tc>
      </w:tr>
      <w:tr>
        <w:tc>
          <w:tcPr>
            <w:tcW w:type="dxa" w:w="115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Mocrocks</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poor weather</w:t>
            </w:r>
          </w:p>
        </w:tc>
        <w:tc>
          <w:tcPr>
            <w:tcW w:type="dxa" w:w="245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2006-11-04 alone</w:t>
            </w:r>
          </w:p>
        </w:tc>
        <w:tc>
          <w:tcPr>
            <w:tcW w:type="dxa" w:w="4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All 17 bins match. That survey's low water was 27 minutes after sunset and the database flags it Evening.</w:t>
            </w:r>
          </w:p>
        </w:tc>
      </w:tr>
      <w:tr>
        <w:tc>
          <w:tcPr>
            <w:tcW w:type="dxa" w:w="1150"/>
            <w:tcMar>
              <w:top w:type="dxa" w:w="50"/>
              <w:left w:type="dxa" w:w="80"/>
              <w:bottom w:type="dxa" w:w="50"/>
              <w:right w:type="dxa" w:w="80"/>
            </w:tcMar>
          </w:tcPr>
          <w:p>
            <w:pPr>
              <w:spacing w:after="0" w:before="0" w:line="240"/>
            </w:pPr>
            <w:r>
              <w:rPr>
                <w:b w:val="false"/>
                <w:bCs w:val="false"/>
                <w:i w:val="false"/>
                <w:iCs w:val="false"/>
                <w:sz w:val="16"/>
                <w:szCs w:val="16"/>
              </w:rPr>
              <w:t xml:space="preserve">Kalaloch</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Master_Tables daylight</w:t>
            </w:r>
          </w:p>
        </w:tc>
        <w:tc>
          <w:tcPr>
            <w:tcW w:type="dxa" w:w="245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 1998-04-01</w:t>
            </w:r>
          </w:p>
        </w:tc>
        <w:tc>
          <w:tcPr>
            <w:tcW w:type="dxa" w:w="4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All 13 values equal the Mocrocks percent-available column to 16 significant figures. There is no Kalaloch survey.</w:t>
            </w:r>
          </w:p>
        </w:tc>
      </w:tr>
    </w:tbl>
    <w:p>
      <w:pPr>
        <w:spacing w:after="120"/>
      </w:pPr>
    </w:p>
    <w:p>
      <w:pPr>
        <w:spacing w:after="120" w:before="0" w:line="276"/>
      </w:pPr>
      <w:r>
        <w:rPr>
          <w:b/>
          <w:bCs/>
          <w:sz w:val="21"/>
          <w:szCs w:val="21"/>
        </w:rPr>
        <w:t xml:space="preserve">The defect that matters most. </w:t>
      </w:r>
      <w:r>
        <w:rPr>
          <w:sz w:val="21"/>
          <w:szCs w:val="21"/>
        </w:rPr>
        <w:t xml:space="preserve">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pPr>
        <w:pStyle w:val="Heading1"/>
        <w:spacing w:after="140" w:before="280"/>
      </w:pPr>
      <w:r>
        <w:t xml:space="preserve">6. Historical evolution of the methodology</w:t>
      </w:r>
    </w:p>
    <w:p>
      <w:pPr>
        <w:pStyle w:val="Heading2"/>
        <w:spacing w:after="100" w:before="200"/>
      </w:pPr>
      <w:r>
        <w:t xml:space="preserve">6.1 Origins</w:t>
      </w:r>
    </w:p>
    <w:p>
      <w:pPr>
        <w:spacing w:after="120" w:before="0" w:line="276"/>
      </w:pPr>
      <w:r>
        <w:rPr>
          <w:sz w:val="21"/>
          <w:szCs w:val="21"/>
        </w:rPr>
        <w:t xml:space="preserve">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pPr>
        <w:pStyle w:val="Heading2"/>
        <w:spacing w:after="100" w:before="200"/>
      </w:pPr>
      <w:r>
        <w:t xml:space="preserve">6.2 The May 2013 correction (the central event)</w:t>
      </w:r>
    </w:p>
    <w:p>
      <w:pPr>
        <w:spacing w:after="120" w:before="0" w:line="276"/>
      </w:pPr>
      <w:r>
        <w:rPr>
          <w:sz w:val="21"/>
          <w:szCs w:val="21"/>
        </w:rP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pPr>
        <w:spacing w:after="120" w:before="0" w:line="276"/>
      </w:pPr>
      <w:r>
        <w:rPr>
          <w:b/>
          <w:bCs/>
          <w:sz w:val="21"/>
          <w:szCs w:val="21"/>
        </w:rPr>
        <w:t xml:space="preserve">Documentation reconciliation. </w:t>
      </w:r>
      <w:r>
        <w:rPr>
          <w:sz w:val="21"/>
          <w:szCs w:val="21"/>
        </w:rPr>
        <w:t xml:space="preserve">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pPr>
        <w:spacing w:after="120" w:before="0" w:line="276"/>
      </w:pPr>
      <w:r>
        <w:rPr>
          <w:b/>
          <w:bCs/>
          <w:sz w:val="21"/>
          <w:szCs w:val="21"/>
        </w:rPr>
        <w:t xml:space="preserve">Reimplementation and validation (2026 review). </w:t>
      </w:r>
      <w:r>
        <w:rPr>
          <w:sz w:val="21"/>
          <w:szCs w:val="21"/>
        </w:rPr>
        <w:t xml:space="preserve">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w:t>
      </w:r>
    </w:p>
    <w:p>
      <w:pPr>
        <w:spacing w:after="120" w:before="0" w:line="276"/>
      </w:pPr>
      <w:r>
        <w:rPr>
          <w:b/>
          <w:bCs/>
          <w:sz w:val="21"/>
          <w:szCs w:val="21"/>
        </w:rPr>
        <w:t xml:space="preserve">The independent check: the 2017-18 season, beach-day by beach-day. </w:t>
      </w:r>
      <w:r>
        <w:rPr>
          <w:sz w:val="21"/>
          <w:szCs w:val="21"/>
        </w:rPr>
        <w:t xml:space="preserve">The strongest available validation is an external one, against a document the pipeline never sees. The 2017-18 FINAL printout, held in the repository, is the complete season record: 27 dig days, 67 open beach-days, per-beach daily effort, harvest, catch rate, tide-series subtotals, wastage, and percent of TAC. It is not derived from the database, and the in-season workbook that produced it does not survive. Reconciling the two:</w:t>
      </w:r>
    </w:p>
    <w:p>
      <w:pPr>
        <w:pStyle w:val="ListParagraph"/>
        <w:numPr>
          <w:ilvl w:val="0"/>
          <w:numId w:val="1"/>
        </w:numPr>
        <w:spacing w:after="60" w:line="276"/>
      </w:pPr>
      <w:r>
        <w:rPr>
          <w:sz w:val="21"/>
          <w:szCs w:val="21"/>
        </w:rPr>
        <w:t xml:space="preserve">66 of the 67 open beach-days carry a census in the database. The single exception is Twin Harbors on 4 December 2017, 692 digger trips, which the workbook imputed.</w:t>
      </w:r>
    </w:p>
    <w:p>
      <w:pPr>
        <w:pStyle w:val="ListParagraph"/>
        <w:numPr>
          <w:ilvl w:val="0"/>
          <w:numId w:val="1"/>
        </w:numPr>
        <w:spacing w:after="60" w:line="276"/>
      </w:pPr>
      <w:r>
        <w:rPr>
          <w:sz w:val="21"/>
          <w:szCs w:val="21"/>
        </w:rPr>
        <w:t xml:space="preserve">On 65 of those 66 matched beach-days, the database expansion and the printout agree to within rounding. The median absolute difference is 0.3 digger trips, which is what rounding to whole trips produces.</w:t>
      </w:r>
    </w:p>
    <w:p>
      <w:pPr>
        <w:pStyle w:val="ListParagraph"/>
        <w:numPr>
          <w:ilvl w:val="0"/>
          <w:numId w:val="1"/>
        </w:numPr>
        <w:spacing w:after="60" w:line="276"/>
      </w:pPr>
      <w:r>
        <w:rPr>
          <w:sz w:val="21"/>
          <w:szCs w:val="21"/>
        </w:rPr>
        <w:t xml:space="preserve">Coastwide, the database backs 256,925 of the printout's 257,003 digger trips, 99.97 percent. Long Beach and Mocrocks reproduce to less than one digger trip.</w:t>
      </w:r>
    </w:p>
    <w:p>
      <w:pPr>
        <w:pStyle w:val="ListParagraph"/>
        <w:numPr>
          <w:ilvl w:val="0"/>
          <w:numId w:val="1"/>
        </w:numPr>
        <w:spacing w:after="60" w:line="276"/>
      </w:pPr>
      <w:r>
        <w:rPr>
          <w:sz w:val="21"/>
          <w:szCs w:val="21"/>
        </w:rPr>
        <w:t xml:space="preserve">Two Copalis beach-days do not reconcile: 2 November 2017 (printout 1,464 digger trips, database 1,615, a difference of 10.3 percent) and 21 April 2018 (8,956 against 9,418, 5.2 percent).</w:t>
      </w:r>
    </w:p>
    <w:p>
      <w:pPr>
        <w:pStyle w:val="ListParagraph"/>
        <w:numPr>
          <w:ilvl w:val="0"/>
          <w:numId w:val="1"/>
        </w:numPr>
        <w:spacing w:after="60" w:line="276"/>
      </w:pPr>
      <w:r>
        <w:rPr>
          <w:sz w:val="21"/>
          <w:szCs w:val="21"/>
        </w:rPr>
        <w:t xml:space="preserve">Harvest reconciles on 63 of 66 beach-days, and the coastwide harvest difference of 42,732 clams decomposes exactly into three anomalous days less the one imputed day: Long Beach 31 December 2017 (+19,821), Mocrocks 21 April 2018 (+26,277), Copalis 21 April 2018 (+4,665), and Twin Harbors 4 December 2017 (-8,031, the imputed beach-day). Two of the three anomalies are catch rate, not effort: the printout carries 10.2 and 10.1 clams per digger trip where the database's pooled interviews give 12.14 and 14.68.</w:t>
      </w:r>
    </w:p>
    <w:p>
      <w:pPr>
        <w:pStyle w:val="ListParagraph"/>
        <w:numPr>
          <w:ilvl w:val="0"/>
          <w:numId w:val="1"/>
        </w:numPr>
        <w:spacing w:after="60" w:line="276"/>
      </w:pPr>
      <w:r>
        <w:rPr>
          <w:sz w:val="21"/>
          <w:szCs w:val="21"/>
        </w:rPr>
        <w:t xml:space="preserve">The printout is internally inconsistent by one digger trip: its four beach subtotals sum to 257,003 while its own coastwide total reads 257,004.</w:t>
      </w:r>
    </w:p>
    <w:p>
      <w:pPr>
        <w:spacing w:after="120" w:before="60" w:line="276"/>
      </w:pPr>
      <w:r>
        <w:rPr>
          <w:sz w:val="21"/>
          <w:szCs w:val="21"/>
        </w:rPr>
        <w:t xml:space="preserve">This is the closest thing the program has to an end-to-end external validation of the expansion chain, and it passes. It also identifies exactly four beach-days whose field records should be re-examined.</w:t>
      </w:r>
    </w:p>
    <w:p>
      <w:pPr>
        <w:keepNext/>
        <w:spacing w:after="60" w:before="140"/>
      </w:pPr>
      <w:r>
        <w:rPr>
          <w:b/>
          <w:bCs/>
          <w:sz w:val="18"/>
          <w:szCs w:val="18"/>
        </w:rPr>
        <w:t xml:space="preserve">Table 5. </w:t>
      </w:r>
      <w:r>
        <w:rPr>
          <w:i/>
          <w:iCs/>
          <w:sz w:val="18"/>
          <w:szCs w:val="18"/>
        </w:rPr>
        <w:t xml:space="preserve">The 2017-18 season: the FINAL printout against the harvest database, by beach.</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027"/>
        <w:gridCol w:w="653"/>
        <w:gridCol w:w="636"/>
        <w:gridCol w:w="827"/>
        <w:gridCol w:w="879"/>
        <w:gridCol w:w="679"/>
        <w:gridCol w:w="845"/>
        <w:gridCol w:w="871"/>
        <w:gridCol w:w="601"/>
        <w:gridCol w:w="845"/>
        <w:gridCol w:w="871"/>
        <w:gridCol w:w="627"/>
      </w:tblGrid>
      <w:tr>
        <w:trPr>
          <w:tblHeader/>
        </w:trPr>
        <w:tc>
          <w:tcPr>
            <w:tcW w:type="dxa" w:w="1027"/>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65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Open beach-days</w:t>
            </w:r>
          </w:p>
        </w:tc>
        <w:tc>
          <w:tcPr>
            <w:tcW w:type="dxa" w:w="636"/>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With a census</w:t>
            </w:r>
          </w:p>
        </w:tc>
        <w:tc>
          <w:tcPr>
            <w:tcW w:type="dxa" w:w="82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printout</w:t>
            </w:r>
          </w:p>
        </w:tc>
        <w:tc>
          <w:tcPr>
            <w:tcW w:type="dxa" w:w="879"/>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database</w:t>
            </w:r>
          </w:p>
        </w:tc>
        <w:tc>
          <w:tcPr>
            <w:tcW w:type="dxa" w:w="679"/>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Share</w:t>
            </w:r>
          </w:p>
        </w:tc>
        <w:tc>
          <w:tcPr>
            <w:tcW w:type="dxa" w:w="84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printout</w:t>
            </w:r>
          </w:p>
        </w:tc>
        <w:tc>
          <w:tcPr>
            <w:tcW w:type="dxa" w:w="87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database</w:t>
            </w:r>
          </w:p>
        </w:tc>
        <w:tc>
          <w:tcPr>
            <w:tcW w:type="dxa" w:w="60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Diff.</w:t>
            </w:r>
          </w:p>
        </w:tc>
        <w:tc>
          <w:tcPr>
            <w:tcW w:type="dxa" w:w="84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Wastage: printout</w:t>
            </w:r>
          </w:p>
        </w:tc>
        <w:tc>
          <w:tcPr>
            <w:tcW w:type="dxa" w:w="87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Wastage: database</w:t>
            </w:r>
          </w:p>
        </w:tc>
        <w:tc>
          <w:tcPr>
            <w:tcW w:type="dxa" w:w="62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 of TAC</w:t>
            </w:r>
          </w:p>
        </w:tc>
      </w:tr>
      <w:tr>
        <w:tc>
          <w:tcPr>
            <w:tcW w:type="dxa" w:w="1027"/>
            <w:tcMar>
              <w:top w:type="dxa" w:w="50"/>
              <w:left w:type="dxa" w:w="80"/>
              <w:bottom w:type="dxa" w:w="50"/>
              <w:right w:type="dxa" w:w="80"/>
            </w:tcMar>
          </w:tcPr>
          <w:p>
            <w:pPr>
              <w:spacing w:after="0" w:before="0" w:line="240"/>
            </w:pPr>
            <w:r>
              <w:rPr>
                <w:b/>
                <w:bCs/>
                <w:i w:val="false"/>
                <w:iCs w:val="false"/>
                <w:sz w:val="14"/>
                <w:szCs w:val="14"/>
              </w:rPr>
              <w:t xml:space="preserve">Long Beach</w:t>
            </w:r>
          </w:p>
        </w:tc>
        <w:tc>
          <w:tcPr>
            <w:tcW w:type="dxa" w:w="653"/>
            <w:tcMar>
              <w:top w:type="dxa" w:w="50"/>
              <w:left w:type="dxa" w:w="80"/>
              <w:bottom w:type="dxa" w:w="50"/>
              <w:right w:type="dxa" w:w="80"/>
            </w:tcMar>
          </w:tcPr>
          <w:p>
            <w:pPr>
              <w:spacing w:after="0" w:before="0" w:line="240"/>
              <w:jc w:val="center"/>
            </w:pPr>
            <w:r>
              <w:rPr>
                <w:b w:val="false"/>
                <w:bCs w:val="false"/>
                <w:i w:val="false"/>
                <w:iCs w:val="false"/>
                <w:sz w:val="14"/>
                <w:szCs w:val="14"/>
              </w:rPr>
              <w:t xml:space="preserve">16</w:t>
            </w:r>
          </w:p>
        </w:tc>
        <w:tc>
          <w:tcPr>
            <w:tcW w:type="dxa" w:w="636"/>
            <w:tcMar>
              <w:top w:type="dxa" w:w="50"/>
              <w:left w:type="dxa" w:w="80"/>
              <w:bottom w:type="dxa" w:w="50"/>
              <w:right w:type="dxa" w:w="80"/>
            </w:tcMar>
          </w:tcPr>
          <w:p>
            <w:pPr>
              <w:spacing w:after="0" w:before="0" w:line="240"/>
              <w:jc w:val="center"/>
            </w:pPr>
            <w:r>
              <w:rPr>
                <w:b w:val="false"/>
                <w:bCs w:val="false"/>
                <w:i w:val="false"/>
                <w:iCs w:val="false"/>
                <w:sz w:val="14"/>
                <w:szCs w:val="14"/>
              </w:rPr>
              <w:t xml:space="preserve">16</w:t>
            </w:r>
          </w:p>
        </w:tc>
        <w:tc>
          <w:tcPr>
            <w:tcW w:type="dxa" w:w="827"/>
            <w:tcMar>
              <w:top w:type="dxa" w:w="50"/>
              <w:left w:type="dxa" w:w="80"/>
              <w:bottom w:type="dxa" w:w="50"/>
              <w:right w:type="dxa" w:w="80"/>
            </w:tcMar>
          </w:tcPr>
          <w:p>
            <w:pPr>
              <w:spacing w:after="0" w:before="0" w:line="240"/>
              <w:jc w:val="center"/>
            </w:pPr>
            <w:r>
              <w:rPr>
                <w:b w:val="false"/>
                <w:bCs w:val="false"/>
                <w:i w:val="false"/>
                <w:iCs w:val="false"/>
                <w:sz w:val="14"/>
                <w:szCs w:val="14"/>
              </w:rPr>
              <w:t xml:space="preserve">94,213</w:t>
            </w:r>
          </w:p>
        </w:tc>
        <w:tc>
          <w:tcPr>
            <w:tcW w:type="dxa" w:w="879"/>
            <w:tcMar>
              <w:top w:type="dxa" w:w="50"/>
              <w:left w:type="dxa" w:w="80"/>
              <w:bottom w:type="dxa" w:w="50"/>
              <w:right w:type="dxa" w:w="80"/>
            </w:tcMar>
          </w:tcPr>
          <w:p>
            <w:pPr>
              <w:spacing w:after="0" w:before="0" w:line="240"/>
              <w:jc w:val="center"/>
            </w:pPr>
            <w:r>
              <w:rPr>
                <w:b w:val="false"/>
                <w:bCs w:val="false"/>
                <w:i w:val="false"/>
                <w:iCs w:val="false"/>
                <w:sz w:val="14"/>
                <w:szCs w:val="14"/>
              </w:rPr>
              <w:t xml:space="preserve">94,213</w:t>
            </w:r>
          </w:p>
        </w:tc>
        <w:tc>
          <w:tcPr>
            <w:tcW w:type="dxa" w:w="679"/>
            <w:tcMar>
              <w:top w:type="dxa" w:w="50"/>
              <w:left w:type="dxa" w:w="80"/>
              <w:bottom w:type="dxa" w:w="50"/>
              <w:right w:type="dxa" w:w="80"/>
            </w:tcMar>
          </w:tcPr>
          <w:p>
            <w:pPr>
              <w:spacing w:after="0" w:before="0" w:line="240"/>
              <w:jc w:val="center"/>
            </w:pPr>
            <w:r>
              <w:rPr>
                <w:b w:val="false"/>
                <w:bCs w:val="false"/>
                <w:i w:val="false"/>
                <w:iCs w:val="false"/>
                <w:sz w:val="14"/>
                <w:szCs w:val="14"/>
              </w:rPr>
              <w:t xml:space="preserve">1.000</w:t>
            </w:r>
          </w:p>
        </w:tc>
        <w:tc>
          <w:tcPr>
            <w:tcW w:type="dxa" w:w="845"/>
            <w:tcMar>
              <w:top w:type="dxa" w:w="50"/>
              <w:left w:type="dxa" w:w="80"/>
              <w:bottom w:type="dxa" w:w="50"/>
              <w:right w:type="dxa" w:w="80"/>
            </w:tcMar>
          </w:tcPr>
          <w:p>
            <w:pPr>
              <w:spacing w:after="0" w:before="0" w:line="240"/>
              <w:jc w:val="center"/>
            </w:pPr>
            <w:r>
              <w:rPr>
                <w:b w:val="false"/>
                <w:bCs w:val="false"/>
                <w:i w:val="false"/>
                <w:iCs w:val="false"/>
                <w:sz w:val="14"/>
                <w:szCs w:val="14"/>
              </w:rPr>
              <w:t xml:space="preserve">823,281</w:t>
            </w:r>
          </w:p>
        </w:tc>
        <w:tc>
          <w:tcPr>
            <w:tcW w:type="dxa" w:w="871"/>
            <w:tcMar>
              <w:top w:type="dxa" w:w="50"/>
              <w:left w:type="dxa" w:w="80"/>
              <w:bottom w:type="dxa" w:w="50"/>
              <w:right w:type="dxa" w:w="80"/>
            </w:tcMar>
          </w:tcPr>
          <w:p>
            <w:pPr>
              <w:spacing w:after="0" w:before="0" w:line="240"/>
              <w:jc w:val="center"/>
            </w:pPr>
            <w:r>
              <w:rPr>
                <w:b w:val="false"/>
                <w:bCs w:val="false"/>
                <w:i w:val="false"/>
                <w:iCs w:val="false"/>
                <w:sz w:val="14"/>
                <w:szCs w:val="14"/>
              </w:rPr>
              <w:t xml:space="preserve">843,102</w:t>
            </w:r>
          </w:p>
        </w:tc>
        <w:tc>
          <w:tcPr>
            <w:tcW w:type="dxa" w:w="601"/>
            <w:tcMar>
              <w:top w:type="dxa" w:w="50"/>
              <w:left w:type="dxa" w:w="80"/>
              <w:bottom w:type="dxa" w:w="50"/>
              <w:right w:type="dxa" w:w="80"/>
            </w:tcMar>
          </w:tcPr>
          <w:p>
            <w:pPr>
              <w:spacing w:after="0" w:before="0" w:line="240"/>
              <w:jc w:val="center"/>
            </w:pPr>
            <w:r>
              <w:rPr>
                <w:b w:val="false"/>
                <w:bCs w:val="false"/>
                <w:i w:val="false"/>
                <w:iCs w:val="false"/>
                <w:sz w:val="14"/>
                <w:szCs w:val="14"/>
              </w:rPr>
              <w:t xml:space="preserve">+2.4%</w:t>
            </w:r>
          </w:p>
        </w:tc>
        <w:tc>
          <w:tcPr>
            <w:tcW w:type="dxa" w:w="845"/>
            <w:tcMar>
              <w:top w:type="dxa" w:w="50"/>
              <w:left w:type="dxa" w:w="80"/>
              <w:bottom w:type="dxa" w:w="50"/>
              <w:right w:type="dxa" w:w="80"/>
            </w:tcMar>
          </w:tcPr>
          <w:p>
            <w:pPr>
              <w:spacing w:after="0" w:before="0" w:line="240"/>
              <w:jc w:val="center"/>
            </w:pPr>
            <w:r>
              <w:rPr>
                <w:b w:val="false"/>
                <w:bCs w:val="false"/>
                <w:i w:val="false"/>
                <w:iCs w:val="false"/>
                <w:sz w:val="14"/>
                <w:szCs w:val="14"/>
              </w:rPr>
              <w:t xml:space="preserve">16,466</w:t>
            </w:r>
          </w:p>
        </w:tc>
        <w:tc>
          <w:tcPr>
            <w:tcW w:type="dxa" w:w="871"/>
            <w:tcMar>
              <w:top w:type="dxa" w:w="50"/>
              <w:left w:type="dxa" w:w="80"/>
              <w:bottom w:type="dxa" w:w="50"/>
              <w:right w:type="dxa" w:w="80"/>
            </w:tcMar>
          </w:tcPr>
          <w:p>
            <w:pPr>
              <w:spacing w:after="0" w:before="0" w:line="240"/>
              <w:jc w:val="center"/>
            </w:pPr>
            <w:r>
              <w:rPr>
                <w:b w:val="false"/>
                <w:bCs w:val="false"/>
                <w:i w:val="false"/>
                <w:iCs w:val="false"/>
                <w:sz w:val="14"/>
                <w:szCs w:val="14"/>
              </w:rPr>
              <w:t xml:space="preserve">0</w:t>
            </w:r>
          </w:p>
        </w:tc>
        <w:tc>
          <w:tcPr>
            <w:tcW w:type="dxa" w:w="627"/>
            <w:tcMar>
              <w:top w:type="dxa" w:w="50"/>
              <w:left w:type="dxa" w:w="80"/>
              <w:bottom w:type="dxa" w:w="50"/>
              <w:right w:type="dxa" w:w="80"/>
            </w:tcMar>
          </w:tcPr>
          <w:p>
            <w:pPr>
              <w:spacing w:after="0" w:before="0" w:line="240"/>
              <w:jc w:val="center"/>
            </w:pPr>
            <w:r>
              <w:rPr>
                <w:b w:val="false"/>
                <w:bCs w:val="false"/>
                <w:i w:val="false"/>
                <w:iCs w:val="false"/>
                <w:sz w:val="14"/>
                <w:szCs w:val="14"/>
              </w:rPr>
              <w:t xml:space="preserve">96.2%</w:t>
            </w:r>
          </w:p>
        </w:tc>
      </w:tr>
      <w:tr>
        <w:tc>
          <w:tcPr>
            <w:tcW w:type="dxa" w:w="1027"/>
            <w:shd w:fill="F5F7F9" w:color="auto" w:val="clear"/>
            <w:tcMar>
              <w:top w:type="dxa" w:w="50"/>
              <w:left w:type="dxa" w:w="80"/>
              <w:bottom w:type="dxa" w:w="50"/>
              <w:right w:type="dxa" w:w="80"/>
            </w:tcMar>
          </w:tcPr>
          <w:p>
            <w:pPr>
              <w:spacing w:after="0" w:before="0" w:line="240"/>
            </w:pPr>
            <w:r>
              <w:rPr>
                <w:b/>
                <w:bCs/>
                <w:i w:val="false"/>
                <w:iCs w:val="false"/>
                <w:sz w:val="14"/>
                <w:szCs w:val="14"/>
              </w:rPr>
              <w:t xml:space="preserve">Twin Harbors</w:t>
            </w:r>
          </w:p>
        </w:tc>
        <w:tc>
          <w:tcPr>
            <w:tcW w:type="dxa" w:w="653"/>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18</w:t>
            </w:r>
          </w:p>
        </w:tc>
        <w:tc>
          <w:tcPr>
            <w:tcW w:type="dxa" w:w="636"/>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17</w:t>
            </w:r>
          </w:p>
        </w:tc>
        <w:tc>
          <w:tcPr>
            <w:tcW w:type="dxa" w:w="827"/>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55,588</w:t>
            </w:r>
          </w:p>
        </w:tc>
        <w:tc>
          <w:tcPr>
            <w:tcW w:type="dxa" w:w="879"/>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54,896</w:t>
            </w:r>
          </w:p>
        </w:tc>
        <w:tc>
          <w:tcPr>
            <w:tcW w:type="dxa" w:w="679"/>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0.988</w:t>
            </w:r>
          </w:p>
        </w:tc>
        <w:tc>
          <w:tcPr>
            <w:tcW w:type="dxa" w:w="845"/>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619,897</w:t>
            </w:r>
          </w:p>
        </w:tc>
        <w:tc>
          <w:tcPr>
            <w:tcW w:type="dxa" w:w="871"/>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611,866</w:t>
            </w:r>
          </w:p>
        </w:tc>
        <w:tc>
          <w:tcPr>
            <w:tcW w:type="dxa" w:w="601"/>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-1.3%</w:t>
            </w:r>
          </w:p>
        </w:tc>
        <w:tc>
          <w:tcPr>
            <w:tcW w:type="dxa" w:w="845"/>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12,398</w:t>
            </w:r>
          </w:p>
        </w:tc>
        <w:tc>
          <w:tcPr>
            <w:tcW w:type="dxa" w:w="871"/>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3,691</w:t>
            </w:r>
          </w:p>
        </w:tc>
        <w:tc>
          <w:tcPr>
            <w:tcW w:type="dxa" w:w="627"/>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124.8%</w:t>
            </w:r>
          </w:p>
        </w:tc>
      </w:tr>
      <w:tr>
        <w:tc>
          <w:tcPr>
            <w:tcW w:type="dxa" w:w="1027"/>
            <w:tcMar>
              <w:top w:type="dxa" w:w="50"/>
              <w:left w:type="dxa" w:w="80"/>
              <w:bottom w:type="dxa" w:w="50"/>
              <w:right w:type="dxa" w:w="80"/>
            </w:tcMar>
          </w:tcPr>
          <w:p>
            <w:pPr>
              <w:spacing w:after="0" w:before="0" w:line="240"/>
            </w:pPr>
            <w:r>
              <w:rPr>
                <w:b/>
                <w:bCs/>
                <w:i w:val="false"/>
                <w:iCs w:val="false"/>
                <w:sz w:val="14"/>
                <w:szCs w:val="14"/>
              </w:rPr>
              <w:t xml:space="preserve">Copalis</w:t>
            </w:r>
          </w:p>
        </w:tc>
        <w:tc>
          <w:tcPr>
            <w:tcW w:type="dxa" w:w="653"/>
            <w:tcMar>
              <w:top w:type="dxa" w:w="50"/>
              <w:left w:type="dxa" w:w="80"/>
              <w:bottom w:type="dxa" w:w="50"/>
              <w:right w:type="dxa" w:w="80"/>
            </w:tcMar>
          </w:tcPr>
          <w:p>
            <w:pPr>
              <w:spacing w:after="0" w:before="0" w:line="240"/>
              <w:jc w:val="center"/>
            </w:pPr>
            <w:r>
              <w:rPr>
                <w:b w:val="false"/>
                <w:bCs w:val="false"/>
                <w:i w:val="false"/>
                <w:iCs w:val="false"/>
                <w:sz w:val="14"/>
                <w:szCs w:val="14"/>
              </w:rPr>
              <w:t xml:space="preserve">13</w:t>
            </w:r>
          </w:p>
        </w:tc>
        <w:tc>
          <w:tcPr>
            <w:tcW w:type="dxa" w:w="636"/>
            <w:tcMar>
              <w:top w:type="dxa" w:w="50"/>
              <w:left w:type="dxa" w:w="80"/>
              <w:bottom w:type="dxa" w:w="50"/>
              <w:right w:type="dxa" w:w="80"/>
            </w:tcMar>
          </w:tcPr>
          <w:p>
            <w:pPr>
              <w:spacing w:after="0" w:before="0" w:line="240"/>
              <w:jc w:val="center"/>
            </w:pPr>
            <w:r>
              <w:rPr>
                <w:b w:val="false"/>
                <w:bCs w:val="false"/>
                <w:i w:val="false"/>
                <w:iCs w:val="false"/>
                <w:sz w:val="14"/>
                <w:szCs w:val="14"/>
              </w:rPr>
              <w:t xml:space="preserve">13</w:t>
            </w:r>
          </w:p>
        </w:tc>
        <w:tc>
          <w:tcPr>
            <w:tcW w:type="dxa" w:w="827"/>
            <w:tcMar>
              <w:top w:type="dxa" w:w="50"/>
              <w:left w:type="dxa" w:w="80"/>
              <w:bottom w:type="dxa" w:w="50"/>
              <w:right w:type="dxa" w:w="80"/>
            </w:tcMar>
          </w:tcPr>
          <w:p>
            <w:pPr>
              <w:spacing w:after="0" w:before="0" w:line="240"/>
              <w:jc w:val="center"/>
            </w:pPr>
            <w:r>
              <w:rPr>
                <w:b w:val="false"/>
                <w:bCs w:val="false"/>
                <w:i w:val="false"/>
                <w:iCs w:val="false"/>
                <w:sz w:val="14"/>
                <w:szCs w:val="14"/>
              </w:rPr>
              <w:t xml:space="preserve">43,987</w:t>
            </w:r>
          </w:p>
        </w:tc>
        <w:tc>
          <w:tcPr>
            <w:tcW w:type="dxa" w:w="879"/>
            <w:tcMar>
              <w:top w:type="dxa" w:w="50"/>
              <w:left w:type="dxa" w:w="80"/>
              <w:bottom w:type="dxa" w:w="50"/>
              <w:right w:type="dxa" w:w="80"/>
            </w:tcMar>
          </w:tcPr>
          <w:p>
            <w:pPr>
              <w:spacing w:after="0" w:before="0" w:line="240"/>
              <w:jc w:val="center"/>
            </w:pPr>
            <w:r>
              <w:rPr>
                <w:b w:val="false"/>
                <w:bCs w:val="false"/>
                <w:i w:val="false"/>
                <w:iCs w:val="false"/>
                <w:sz w:val="14"/>
                <w:szCs w:val="14"/>
              </w:rPr>
              <w:t xml:space="preserve">44,601</w:t>
            </w:r>
          </w:p>
        </w:tc>
        <w:tc>
          <w:tcPr>
            <w:tcW w:type="dxa" w:w="679"/>
            <w:tcMar>
              <w:top w:type="dxa" w:w="50"/>
              <w:left w:type="dxa" w:w="80"/>
              <w:bottom w:type="dxa" w:w="50"/>
              <w:right w:type="dxa" w:w="80"/>
            </w:tcMar>
          </w:tcPr>
          <w:p>
            <w:pPr>
              <w:spacing w:after="0" w:before="0" w:line="240"/>
              <w:jc w:val="center"/>
            </w:pPr>
            <w:r>
              <w:rPr>
                <w:b w:val="false"/>
                <w:bCs w:val="false"/>
                <w:i w:val="false"/>
                <w:iCs w:val="false"/>
                <w:sz w:val="14"/>
                <w:szCs w:val="14"/>
              </w:rPr>
              <w:t xml:space="preserve">1.014</w:t>
            </w:r>
          </w:p>
        </w:tc>
        <w:tc>
          <w:tcPr>
            <w:tcW w:type="dxa" w:w="845"/>
            <w:tcMar>
              <w:top w:type="dxa" w:w="50"/>
              <w:left w:type="dxa" w:w="80"/>
              <w:bottom w:type="dxa" w:w="50"/>
              <w:right w:type="dxa" w:w="80"/>
            </w:tcMar>
          </w:tcPr>
          <w:p>
            <w:pPr>
              <w:spacing w:after="0" w:before="0" w:line="240"/>
              <w:jc w:val="center"/>
            </w:pPr>
            <w:r>
              <w:rPr>
                <w:b w:val="false"/>
                <w:bCs w:val="false"/>
                <w:i w:val="false"/>
                <w:iCs w:val="false"/>
                <w:sz w:val="14"/>
                <w:szCs w:val="14"/>
              </w:rPr>
              <w:t xml:space="preserve">543,238</w:t>
            </w:r>
          </w:p>
        </w:tc>
        <w:tc>
          <w:tcPr>
            <w:tcW w:type="dxa" w:w="871"/>
            <w:tcMar>
              <w:top w:type="dxa" w:w="50"/>
              <w:left w:type="dxa" w:w="80"/>
              <w:bottom w:type="dxa" w:w="50"/>
              <w:right w:type="dxa" w:w="80"/>
            </w:tcMar>
          </w:tcPr>
          <w:p>
            <w:pPr>
              <w:spacing w:after="0" w:before="0" w:line="240"/>
              <w:jc w:val="center"/>
            </w:pPr>
            <w:r>
              <w:rPr>
                <w:b w:val="false"/>
                <w:bCs w:val="false"/>
                <w:i w:val="false"/>
                <w:iCs w:val="false"/>
                <w:sz w:val="14"/>
                <w:szCs w:val="14"/>
              </w:rPr>
              <w:t xml:space="preserve">547,903</w:t>
            </w:r>
          </w:p>
        </w:tc>
        <w:tc>
          <w:tcPr>
            <w:tcW w:type="dxa" w:w="601"/>
            <w:tcMar>
              <w:top w:type="dxa" w:w="50"/>
              <w:left w:type="dxa" w:w="80"/>
              <w:bottom w:type="dxa" w:w="50"/>
              <w:right w:type="dxa" w:w="80"/>
            </w:tcMar>
          </w:tcPr>
          <w:p>
            <w:pPr>
              <w:spacing w:after="0" w:before="0" w:line="240"/>
              <w:jc w:val="center"/>
            </w:pPr>
            <w:r>
              <w:rPr>
                <w:b w:val="false"/>
                <w:bCs w:val="false"/>
                <w:i w:val="false"/>
                <w:iCs w:val="false"/>
                <w:sz w:val="14"/>
                <w:szCs w:val="14"/>
              </w:rPr>
              <w:t xml:space="preserve">+0.9%</w:t>
            </w:r>
          </w:p>
        </w:tc>
        <w:tc>
          <w:tcPr>
            <w:tcW w:type="dxa" w:w="845"/>
            <w:tcMar>
              <w:top w:type="dxa" w:w="50"/>
              <w:left w:type="dxa" w:w="80"/>
              <w:bottom w:type="dxa" w:w="50"/>
              <w:right w:type="dxa" w:w="80"/>
            </w:tcMar>
          </w:tcPr>
          <w:p>
            <w:pPr>
              <w:spacing w:after="0" w:before="0" w:line="240"/>
              <w:jc w:val="center"/>
            </w:pPr>
            <w:r>
              <w:rPr>
                <w:b w:val="false"/>
                <w:bCs w:val="false"/>
                <w:i w:val="false"/>
                <w:iCs w:val="false"/>
                <w:sz w:val="14"/>
                <w:szCs w:val="14"/>
              </w:rPr>
              <w:t xml:space="preserve">33,952</w:t>
            </w:r>
          </w:p>
        </w:tc>
        <w:tc>
          <w:tcPr>
            <w:tcW w:type="dxa" w:w="871"/>
            <w:tcMar>
              <w:top w:type="dxa" w:w="50"/>
              <w:left w:type="dxa" w:w="80"/>
              <w:bottom w:type="dxa" w:w="50"/>
              <w:right w:type="dxa" w:w="80"/>
            </w:tcMar>
          </w:tcPr>
          <w:p>
            <w:pPr>
              <w:spacing w:after="0" w:before="0" w:line="240"/>
              <w:jc w:val="center"/>
            </w:pPr>
            <w:r>
              <w:rPr>
                <w:b w:val="false"/>
                <w:bCs w:val="false"/>
                <w:i w:val="false"/>
                <w:iCs w:val="false"/>
                <w:sz w:val="14"/>
                <w:szCs w:val="14"/>
              </w:rPr>
              <w:t xml:space="preserve">0</w:t>
            </w:r>
          </w:p>
        </w:tc>
        <w:tc>
          <w:tcPr>
            <w:tcW w:type="dxa" w:w="627"/>
            <w:tcMar>
              <w:top w:type="dxa" w:w="50"/>
              <w:left w:type="dxa" w:w="80"/>
              <w:bottom w:type="dxa" w:w="50"/>
              <w:right w:type="dxa" w:w="80"/>
            </w:tcMar>
          </w:tcPr>
          <w:p>
            <w:pPr>
              <w:spacing w:after="0" w:before="0" w:line="240"/>
              <w:jc w:val="center"/>
            </w:pPr>
            <w:r>
              <w:rPr>
                <w:b w:val="false"/>
                <w:bCs w:val="false"/>
                <w:i w:val="false"/>
                <w:iCs w:val="false"/>
                <w:sz w:val="14"/>
                <w:szCs w:val="14"/>
              </w:rPr>
              <w:t xml:space="preserve">97.6%</w:t>
            </w:r>
          </w:p>
        </w:tc>
      </w:tr>
      <w:tr>
        <w:tc>
          <w:tcPr>
            <w:tcW w:type="dxa" w:w="1027"/>
            <w:shd w:fill="F5F7F9" w:color="auto" w:val="clear"/>
            <w:tcMar>
              <w:top w:type="dxa" w:w="50"/>
              <w:left w:type="dxa" w:w="80"/>
              <w:bottom w:type="dxa" w:w="50"/>
              <w:right w:type="dxa" w:w="80"/>
            </w:tcMar>
          </w:tcPr>
          <w:p>
            <w:pPr>
              <w:spacing w:after="0" w:before="0" w:line="240"/>
            </w:pPr>
            <w:r>
              <w:rPr>
                <w:b/>
                <w:bCs/>
                <w:i w:val="false"/>
                <w:iCs w:val="false"/>
                <w:sz w:val="14"/>
                <w:szCs w:val="14"/>
              </w:rPr>
              <w:t xml:space="preserve">Mocrocks</w:t>
            </w:r>
          </w:p>
        </w:tc>
        <w:tc>
          <w:tcPr>
            <w:tcW w:type="dxa" w:w="653"/>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20</w:t>
            </w:r>
          </w:p>
        </w:tc>
        <w:tc>
          <w:tcPr>
            <w:tcW w:type="dxa" w:w="636"/>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20</w:t>
            </w:r>
          </w:p>
        </w:tc>
        <w:tc>
          <w:tcPr>
            <w:tcW w:type="dxa" w:w="827"/>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63,215</w:t>
            </w:r>
          </w:p>
        </w:tc>
        <w:tc>
          <w:tcPr>
            <w:tcW w:type="dxa" w:w="879"/>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63,215</w:t>
            </w:r>
          </w:p>
        </w:tc>
        <w:tc>
          <w:tcPr>
            <w:tcW w:type="dxa" w:w="679"/>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1.000</w:t>
            </w:r>
          </w:p>
        </w:tc>
        <w:tc>
          <w:tcPr>
            <w:tcW w:type="dxa" w:w="845"/>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745,045</w:t>
            </w:r>
          </w:p>
        </w:tc>
        <w:tc>
          <w:tcPr>
            <w:tcW w:type="dxa" w:w="871"/>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771,322</w:t>
            </w:r>
          </w:p>
        </w:tc>
        <w:tc>
          <w:tcPr>
            <w:tcW w:type="dxa" w:w="601"/>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+3.5%</w:t>
            </w:r>
          </w:p>
        </w:tc>
        <w:tc>
          <w:tcPr>
            <w:tcW w:type="dxa" w:w="845"/>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46,565</w:t>
            </w:r>
          </w:p>
        </w:tc>
        <w:tc>
          <w:tcPr>
            <w:tcW w:type="dxa" w:w="871"/>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9,073</w:t>
            </w:r>
          </w:p>
        </w:tc>
        <w:tc>
          <w:tcPr>
            <w:tcW w:type="dxa" w:w="627"/>
            <w:shd w:fill="F5F7F9" w:color="auto" w:val="clear"/>
            <w:tcMar>
              <w:top w:type="dxa" w:w="50"/>
              <w:left w:type="dxa" w:w="80"/>
              <w:bottom w:type="dxa" w:w="50"/>
              <w:right w:type="dxa" w:w="80"/>
            </w:tcMar>
          </w:tcPr>
          <w:p>
            <w:pPr>
              <w:spacing w:after="0" w:before="0" w:line="240"/>
              <w:jc w:val="center"/>
            </w:pPr>
            <w:r>
              <w:rPr>
                <w:b w:val="false"/>
                <w:bCs w:val="false"/>
                <w:i w:val="false"/>
                <w:iCs w:val="false"/>
                <w:sz w:val="14"/>
                <w:szCs w:val="14"/>
              </w:rPr>
              <w:t xml:space="preserve">101.7%</w:t>
            </w:r>
          </w:p>
        </w:tc>
      </w:tr>
    </w:tbl>
    <w:p>
      <w:pPr>
        <w:spacing w:after="180" w:before="60"/>
      </w:pPr>
      <w:r>
        <w:rPr>
          <w:i/>
          <w:iCs/>
          <w:color w:val="595959"/>
          <w:sz w:val="17"/>
          <w:szCs w:val="17"/>
        </w:rPr>
        <w:t xml:space="preserve">Effort in digger trips, harvest and wastage in clams. Percent of TAC is the printout's own, computed on harvest including wastage. Twin Harbors exceeded its 2017-18 TAC by 24.8 percent and Mocrocks by 1.7 percent. The published wastage of 109,381 clams has no source: the workbook's four Wastage sheets are empty and the database holds 12,764 clams of surveyed wastage across two beaches (section 9).</w:t>
      </w:r>
    </w:p>
    <w:p>
      <w:pPr>
        <w:pStyle w:val="Heading2"/>
        <w:spacing w:after="100" w:before="200"/>
      </w:pPr>
      <w:r>
        <w:t xml:space="preserve">6.3 Expansion-table version history</w:t>
      </w:r>
    </w:p>
    <w:p>
      <w:pPr>
        <w:spacing w:after="120" w:before="0" w:line="276"/>
      </w:pPr>
      <w:r>
        <w:rPr>
          <w:sz w:val="21"/>
          <w:szCs w:val="21"/>
        </w:rPr>
        <w:t xml:space="preserve">Because the tables are pooled from egress surveys, each table is a snapshot of the survey record at the time it was built, then frozen until re-derived. The available files show at least three vintages, and confirm the current tables are newer still.</w:t>
      </w:r>
    </w:p>
    <w:p>
      <w:pPr>
        <w:keepNext/>
        <w:spacing w:after="60" w:before="140"/>
      </w:pPr>
      <w:r>
        <w:rPr>
          <w:b/>
          <w:bCs/>
          <w:sz w:val="18"/>
          <w:szCs w:val="18"/>
        </w:rPr>
        <w:t xml:space="preserve">Table 6. </w:t>
      </w:r>
      <w:r>
        <w:rPr>
          <w:i/>
          <w:iCs/>
          <w:sz w:val="18"/>
          <w:szCs w:val="18"/>
        </w:rPr>
        <w:t xml:space="preserve">Expansion-table vintages and their status.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300"/>
        <w:gridCol w:w="3600"/>
        <w:gridCol w:w="4460"/>
      </w:tblGrid>
      <w:tr>
        <w:trPr>
          <w:tblHeader/>
        </w:trPr>
        <w:tc>
          <w:tcPr>
            <w:tcW w:type="dxa" w:w="13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Vintage</w:t>
            </w:r>
          </w:p>
        </w:tc>
        <w:tc>
          <w:tcPr>
            <w:tcW w:type="dxa" w:w="36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it is</w:t>
            </w:r>
          </w:p>
        </w:tc>
        <w:tc>
          <w:tcPr>
            <w:tcW w:type="dxa" w:w="44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Status</w:t>
            </w:r>
          </w:p>
        </w:tc>
      </w:tr>
      <w:tr>
        <w:tc>
          <w:tcPr>
            <w:tcW w:type="dxa" w:w="1300"/>
            <w:tcMar>
              <w:top w:type="dxa" w:w="50"/>
              <w:left w:type="dxa" w:w="80"/>
              <w:bottom w:type="dxa" w:w="50"/>
              <w:right w:type="dxa" w:w="80"/>
            </w:tcMar>
          </w:tcPr>
          <w:p>
            <w:pPr>
              <w:spacing w:after="0" w:before="0" w:line="240"/>
            </w:pPr>
            <w:r>
              <w:rPr>
                <w:b/>
                <w:bCs/>
                <w:i w:val="false"/>
                <w:iCs w:val="false"/>
                <w:sz w:val="17"/>
                <w:szCs w:val="17"/>
              </w:rPr>
              <w:t xml:space="preserve">1998 origins</w:t>
            </w:r>
          </w:p>
        </w:tc>
        <w:tc>
          <w:tcPr>
            <w:tcW w:type="dxa" w:w="3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Earliest ingress workbooks (Quattro Pro)</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Historical; not the working tables.</w:t>
            </w:r>
          </w:p>
        </w:tc>
      </w:tr>
      <w:tr>
        <w:tc>
          <w:tcPr>
            <w:tcW w:type="dxa" w:w="13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2010 to 2011</w:t>
            </w:r>
          </w:p>
        </w:tc>
        <w:tc>
          <w:tcPr>
            <w:tcW w:type="dxa" w:w="3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Cumulative-ingress tables dated 11/2010 to 01/2011</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Reproduced exactly by pooling the named surveys.</w:t>
            </w:r>
          </w:p>
        </w:tc>
      </w:tr>
      <w:tr>
        <w:tc>
          <w:tcPr>
            <w:tcW w:type="dxa" w:w="1300"/>
            <w:tcMar>
              <w:top w:type="dxa" w:w="50"/>
              <w:left w:type="dxa" w:w="80"/>
              <w:bottom w:type="dxa" w:w="50"/>
              <w:right w:type="dxa" w:w="80"/>
            </w:tcMar>
          </w:tcPr>
          <w:p>
            <w:pPr>
              <w:spacing w:after="0" w:before="0" w:line="240"/>
            </w:pPr>
            <w:r>
              <w:rPr>
                <w:b/>
                <w:bCs/>
                <w:i w:val="false"/>
                <w:iCs w:val="false"/>
                <w:sz w:val="17"/>
                <w:szCs w:val="17"/>
              </w:rPr>
              <w:t xml:space="preserve">2013</w:t>
            </w:r>
          </w:p>
        </w:tc>
        <w:tc>
          <w:tcPr>
            <w:tcW w:type="dxa" w:w="3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Tables dated 02/2013 to 09/2013</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Re-derived with surveys collected 2011 to 2013; differ from the 2010 to 2011 vintage in the peak window.</w:t>
            </w:r>
          </w:p>
        </w:tc>
      </w:tr>
      <w:tr>
        <w:tc>
          <w:tcPr>
            <w:tcW w:type="dxa" w:w="13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Current</w:t>
            </w:r>
          </w:p>
        </w:tc>
        <w:tc>
          <w:tcPr>
            <w:tcW w:type="dxa" w:w="3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One reference table per beach embedded in the harvest database Correction Factor form (Kalaloch has 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Extracted and matched bin for bin to the 2023 to 2026 correction-factor logs. Twin Harbors is identical to its 2013 table; Long Beach, Copalis, and Mocrocks were refined after 2013, Long Beach substantially.</w:t>
            </w:r>
          </w:p>
        </w:tc>
      </w:tr>
    </w:tbl>
    <w:p>
      <w:pPr>
        <w:spacing w:after="120"/>
      </w:pPr>
    </w:p>
    <w:p>
      <w:pPr>
        <w:spacing w:after="120" w:before="0" w:line="276"/>
      </w:pPr>
      <w:r>
        <w:rPr>
          <w:b/>
          <w:bCs/>
          <w:sz w:val="21"/>
          <w:szCs w:val="21"/>
        </w:rPr>
        <w:t xml:space="preserve">Where the current tables live. </w:t>
      </w:r>
      <w:r>
        <w:rPr>
          <w:sz w:val="21"/>
          <w:szCs w:val="21"/>
        </w:rPr>
        <w:t xml:space="preserve">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pPr>
        <w:spacing w:after="120" w:before="0" w:line="276"/>
      </w:pPr>
      <w:r>
        <w:rPr>
          <w:b/>
          <w:bCs/>
          <w:sz w:val="21"/>
          <w:szCs w:val="21"/>
        </w:rPr>
        <w:t xml:space="preserve">What the refinement actually did, and why it is not a footnote. </w:t>
      </w:r>
      <w:r>
        <w:rPr>
          <w:sz w:val="21"/>
          <w:szCs w:val="21"/>
        </w:rPr>
        <w:t xml:space="preserve">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pPr>
        <w:keepNext/>
        <w:spacing w:after="40" w:before="12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14625"/>
                    </a:xfrm>
                    <a:prstGeom prst="rect">
                      <a:avLst/>
                    </a:prstGeom>
                  </pic:spPr>
                </pic:pic>
              </a:graphicData>
            </a:graphic>
          </wp:inline>
        </w:drawing>
      </w:r>
    </w:p>
    <w:p>
      <w:pPr>
        <w:spacing w:after="180"/>
        <w:jc w:val="left"/>
      </w:pPr>
      <w:r>
        <w:rPr>
          <w:b/>
          <w:bCs/>
          <w:sz w:val="18"/>
          <w:szCs w:val="18"/>
        </w:rPr>
        <w:t xml:space="preserve">Figure 9. </w:t>
      </w:r>
      <w:r>
        <w:rPr>
          <w:i/>
          <w:iCs/>
          <w:sz w:val="18"/>
          <w:szCs w:val="18"/>
        </w:rPr>
        <w:t xml:space="preserve">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pPr>
        <w:keepNext/>
        <w:spacing w:after="60" w:before="140"/>
      </w:pPr>
      <w:r>
        <w:rPr>
          <w:b/>
          <w:bCs/>
          <w:sz w:val="18"/>
          <w:szCs w:val="18"/>
        </w:rPr>
        <w:t xml:space="preserve">Table 7. </w:t>
      </w:r>
      <w:r>
        <w:rPr>
          <w:i/>
          <w:iCs/>
          <w:sz w:val="18"/>
          <w:szCs w:val="18"/>
        </w:rPr>
        <w:t xml:space="preserve">Effect of the post-2013 table refinement on the correction factor and on expanded effort, evaluated at each beach's modal count window.</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2600"/>
        <w:gridCol w:w="1650"/>
        <w:gridCol w:w="1650"/>
        <w:gridCol w:w="196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26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 window (minutes before low water)</w:t>
            </w:r>
          </w:p>
        </w:tc>
        <w:tc>
          <w:tcPr>
            <w:tcW w:type="dxa" w:w="16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CF, 2012 to 2013 table</w:t>
            </w:r>
          </w:p>
        </w:tc>
        <w:tc>
          <w:tcPr>
            <w:tcW w:type="dxa" w:w="16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CF, current table</w:t>
            </w:r>
          </w:p>
        </w:tc>
        <w:tc>
          <w:tcPr>
            <w:tcW w:type="dxa" w:w="19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Change in expanded effort for the same count</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Long Beach</w:t>
            </w:r>
          </w:p>
        </w:tc>
        <w:tc>
          <w:tcPr>
            <w:tcW w:type="dxa" w:w="2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120 to 90</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0.727</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0.546</w:t>
            </w:r>
          </w:p>
        </w:tc>
        <w:tc>
          <w:tcPr>
            <w:tcW w:type="dxa" w:w="19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+33.1%</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Twin Harbors</w:t>
            </w:r>
          </w:p>
        </w:tc>
        <w:tc>
          <w:tcPr>
            <w:tcW w:type="dxa" w:w="2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120 to 90</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0.531</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0.531</w:t>
            </w:r>
          </w:p>
        </w:tc>
        <w:tc>
          <w:tcPr>
            <w:tcW w:type="dxa" w:w="19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+0.0%</w:t>
            </w:r>
          </w:p>
        </w:tc>
      </w:tr>
      <w:tr>
        <w:tc>
          <w:tcPr>
            <w:tcW w:type="dxa" w:w="1500"/>
            <w:tcMar>
              <w:top w:type="dxa" w:w="50"/>
              <w:left w:type="dxa" w:w="80"/>
              <w:bottom w:type="dxa" w:w="50"/>
              <w:right w:type="dxa" w:w="80"/>
            </w:tcMar>
          </w:tcPr>
          <w:p>
            <w:pPr>
              <w:spacing w:after="0" w:before="0" w:line="240"/>
            </w:pPr>
            <w:r>
              <w:rPr>
                <w:b/>
                <w:bCs/>
                <w:i w:val="false"/>
                <w:iCs w:val="false"/>
                <w:sz w:val="17"/>
                <w:szCs w:val="17"/>
              </w:rPr>
              <w:t xml:space="preserve">Copalis</w:t>
            </w:r>
          </w:p>
        </w:tc>
        <w:tc>
          <w:tcPr>
            <w:tcW w:type="dxa" w:w="26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105 to 75</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0.502</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0.544</w:t>
            </w:r>
          </w:p>
        </w:tc>
        <w:tc>
          <w:tcPr>
            <w:tcW w:type="dxa" w:w="19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-7.7%</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Mocrocks</w:t>
            </w:r>
          </w:p>
        </w:tc>
        <w:tc>
          <w:tcPr>
            <w:tcW w:type="dxa" w:w="26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90 to 60</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0.576</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0.548</w:t>
            </w:r>
          </w:p>
        </w:tc>
        <w:tc>
          <w:tcPr>
            <w:tcW w:type="dxa" w:w="19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+5.2%</w:t>
            </w:r>
          </w:p>
        </w:tc>
      </w:tr>
    </w:tbl>
    <w:p>
      <w:pPr>
        <w:spacing w:after="180" w:before="60"/>
      </w:pPr>
      <w:r>
        <w:rPr>
          <w:i/>
          <w:iCs/>
          <w:color w:val="595959"/>
          <w:sz w:val="17"/>
          <w:szCs w:val="17"/>
        </w:rPr>
        <w:t xml:space="preserve">Modal windows are those recovered from the stored correction factors (section 5.5). A positive change means the current table expands the same count to more digger trips. Twin Harbors is unchanged because its current table is bin-for-bin identical to its 2013 table.</w:t>
      </w:r>
    </w:p>
    <w:p>
      <w:pPr>
        <w:spacing w:after="120" w:before="0" w:line="276"/>
      </w:pPr>
      <w:r>
        <w:rPr>
          <w:sz w:val="21"/>
          <w:szCs w:val="21"/>
        </w:rPr>
        <w:t xml:space="preserve">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pPr>
        <w:spacing w:after="120" w:before="0" w:line="276"/>
      </w:pPr>
      <w:r>
        <w:rPr>
          <w:b/>
          <w:bCs/>
          <w:sz w:val="21"/>
          <w:szCs w:val="21"/>
        </w:rPr>
        <w:t xml:space="preserve">Two residual points. </w:t>
      </w:r>
      <w:r>
        <w:rPr>
          <w:sz w:val="21"/>
          <w:szCs w:val="21"/>
        </w:rPr>
        <w:t xml:space="preserve">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pPr>
        <w:pStyle w:val="Heading2"/>
        <w:spacing w:after="100" w:before="200"/>
      </w:pPr>
      <w:r>
        <w:t xml:space="preserve">6.4 Exploitation-rate history and the move to a variable harvest rate</w:t>
      </w:r>
    </w:p>
    <w:p>
      <w:pPr>
        <w:spacing w:after="120" w:before="0" w:line="276"/>
      </w:pPr>
      <w:r>
        <w:rPr>
          <w:sz w:val="21"/>
          <w:szCs w:val="21"/>
        </w:rPr>
        <w:t xml:space="preserve">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pPr>
        <w:spacing w:after="120" w:before="0" w:line="276"/>
      </w:pPr>
      <w:r>
        <w:rPr>
          <w:sz w:val="21"/>
          <w:szCs w:val="21"/>
        </w:rPr>
        <w:t xml:space="preserve">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pPr>
        <w:pStyle w:val="Heading2"/>
        <w:spacing w:after="100" w:before="200"/>
      </w:pPr>
      <w:r>
        <w:t xml:space="preserve">6.5 The 2023-24 standardized correction-factor practice</w:t>
      </w:r>
    </w:p>
    <w:p>
      <w:pPr>
        <w:spacing w:after="120" w:before="0" w:line="276"/>
      </w:pPr>
      <w:r>
        <w:rPr>
          <w:sz w:val="21"/>
          <w:szCs w:val="21"/>
        </w:rPr>
        <w:t xml:space="preserve">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pPr>
        <w:pStyle w:val="Heading1"/>
        <w:spacing w:after="140" w:before="280"/>
      </w:pPr>
      <w:r>
        <w:t xml:space="preserve">7. How seasons have differed</w:t>
      </w:r>
    </w:p>
    <w:p>
      <w:pPr>
        <w:pStyle w:val="Heading2"/>
        <w:spacing w:after="100" w:before="200"/>
      </w:pPr>
      <w:r>
        <w:t xml:space="preserve">7.1 Harvest-rate regime</w:t>
      </w:r>
    </w:p>
    <w:p>
      <w:pPr>
        <w:spacing w:after="120" w:before="0" w:line="276"/>
      </w:pPr>
      <w:r>
        <w:rPr>
          <w:sz w:val="21"/>
          <w:szCs w:val="21"/>
        </w:rPr>
        <w:t xml:space="preserve">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pPr>
        <w:pStyle w:val="Heading2"/>
        <w:spacing w:after="100" w:before="200"/>
      </w:pPr>
      <w:r>
        <w:t xml:space="preserve">7.2 Closures and disruptions</w:t>
      </w:r>
    </w:p>
    <w:p>
      <w:pPr>
        <w:spacing w:after="120" w:before="0" w:line="276"/>
      </w:pPr>
      <w:r>
        <w:rPr>
          <w:sz w:val="21"/>
          <w:szCs w:val="21"/>
        </w:rPr>
        <w:t xml:space="preserve">Several recent seasons were shortened or partially closed, which truncates effort and harvest independently of stock status and should be remembered when comparing seasons:</w:t>
      </w:r>
    </w:p>
    <w:p>
      <w:pPr>
        <w:pStyle w:val="ListParagraph"/>
        <w:numPr>
          <w:ilvl w:val="0"/>
          <w:numId w:val="1"/>
        </w:numPr>
        <w:spacing w:after="60" w:line="276"/>
      </w:pPr>
      <w:r>
        <w:rPr>
          <w:sz w:val="21"/>
          <w:szCs w:val="21"/>
        </w:rPr>
        <w:t xml:space="preserve">2019-20 closed prematurely (COVID-19).</w:t>
      </w:r>
    </w:p>
    <w:p>
      <w:pPr>
        <w:pStyle w:val="ListParagraph"/>
        <w:numPr>
          <w:ilvl w:val="0"/>
          <w:numId w:val="1"/>
        </w:numPr>
        <w:spacing w:after="60" w:line="276"/>
      </w:pPr>
      <w:r>
        <w:rPr>
          <w:sz w:val="21"/>
          <w:szCs w:val="21"/>
        </w:rPr>
        <w:t xml:space="preserve">2020-21 partially closed (elevated domoic acid, a marine toxin).</w:t>
      </w:r>
    </w:p>
    <w:p>
      <w:pPr>
        <w:pStyle w:val="ListParagraph"/>
        <w:numPr>
          <w:ilvl w:val="0"/>
          <w:numId w:val="1"/>
        </w:numPr>
        <w:spacing w:after="60" w:line="276"/>
      </w:pPr>
      <w:r>
        <w:rPr>
          <w:sz w:val="21"/>
          <w:szCs w:val="21"/>
        </w:rPr>
        <w:t xml:space="preserve">2022-23 partially closed (elevated domoic acid).</w:t>
      </w:r>
    </w:p>
    <w:p>
      <w:pPr>
        <w:spacing w:after="120" w:before="60" w:line="276"/>
      </w:pPr>
      <w:r>
        <w:rPr>
          <w:sz w:val="21"/>
          <w:szCs w:val="21"/>
        </w:rPr>
        <w:t xml:space="preserve">Marine-toxin closures, and poor weather and surf, also routinely move days between beaches within a season.</w:t>
      </w:r>
    </w:p>
    <w:p>
      <w:pPr>
        <w:pStyle w:val="Heading2"/>
        <w:spacing w:after="100" w:before="200"/>
      </w:pPr>
      <w:r>
        <w:t xml:space="preserve">7.3 Effort by season and beach</w:t>
      </w:r>
    </w:p>
    <w:p>
      <w:pPr>
        <w:spacing w:after="120" w:before="0" w:line="276"/>
      </w:pPr>
      <w:r>
        <w:rPr>
          <w:sz w:val="21"/>
          <w:szCs w:val="21"/>
        </w:rPr>
        <w:t xml:space="preserve">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 Season totals are compared against the TAC beach by beach, and the comparison is not always comfortable: in 2017-18 Twin Harbors took 124.8 percent of its TAC and Mocrocks 101.7 percent (Table 5), a fact recoverable only from the FINAL printout, because the workbook that produced it does not survive.</w:t>
      </w:r>
    </w:p>
    <w:p>
      <w:pPr>
        <w:pStyle w:val="Heading2"/>
        <w:spacing w:after="100" w:before="200"/>
      </w:pPr>
      <w:r>
        <w:t xml:space="preserve">7.4 Tide series, evening versus morning, and night digs</w:t>
      </w:r>
    </w:p>
    <w:p>
      <w:pPr>
        <w:spacing w:after="120" w:before="0" w:line="276"/>
      </w:pPr>
      <w:r>
        <w:rPr>
          <w:sz w:val="21"/>
          <w:szCs w:val="21"/>
        </w:rPr>
        <w:t xml:space="preserve">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pPr>
        <w:pStyle w:val="Heading2"/>
        <w:spacing w:after="100" w:before="200"/>
      </w:pPr>
      <w:r>
        <w:t xml:space="preserve">7.5 Kalaloch as a special case</w:t>
      </w:r>
    </w:p>
    <w:p>
      <w:pPr>
        <w:spacing w:after="120" w:before="0" w:line="276"/>
      </w:pPr>
      <w:r>
        <w:rPr>
          <w:sz w:val="21"/>
          <w:szCs w:val="21"/>
        </w:rPr>
        <w:t xml:space="preserve">Kalaloch is assessed by Olympic National Park staff and does not follow the four-beach expansion method. Three facts establish how weak its series is. It has no ingress/egress expansion table of its own: the table labelled Kalaloch in Master_Tables.xls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pPr>
        <w:pStyle w:val="Heading2"/>
        <w:spacing w:after="100" w:before="200"/>
      </w:pPr>
      <w:r>
        <w:t xml:space="preserve">7.6 Regulatory history: bag limit, legal size, and season structure</w:t>
      </w:r>
    </w:p>
    <w:p>
      <w:pPr>
        <w:spacing w:after="120" w:before="0" w:line="276"/>
      </w:pPr>
      <w:r>
        <w:rPr>
          <w:sz w:val="21"/>
          <w:szCs w:val="21"/>
        </w:rPr>
        <w:t xml:space="preserve">The estimate's machinery is recent, but the fishery it measures has a long regulatory history that shapes how seasons compare across decades.</w:t>
      </w:r>
    </w:p>
    <w:p>
      <w:pPr>
        <w:keepNext/>
        <w:spacing w:after="60" w:before="140"/>
      </w:pPr>
      <w:r>
        <w:rPr>
          <w:b/>
          <w:bCs/>
          <w:sz w:val="18"/>
          <w:szCs w:val="18"/>
        </w:rPr>
        <w:t xml:space="preserve">Table 8. </w:t>
      </w:r>
      <w:r>
        <w:rPr>
          <w:i/>
          <w:iCs/>
          <w:sz w:val="18"/>
          <w:szCs w:val="18"/>
        </w:rPr>
        <w:t xml:space="preserve">Daily bag limit, minimum legal size, and season structure since state management began in 1929.</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600"/>
        <w:gridCol w:w="2000"/>
        <w:gridCol w:w="1300"/>
        <w:gridCol w:w="4460"/>
      </w:tblGrid>
      <w:tr>
        <w:trPr>
          <w:tblHeader/>
        </w:trPr>
        <w:tc>
          <w:tcPr>
            <w:tcW w:type="dxa" w:w="16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Period</w:t>
            </w:r>
          </w:p>
        </w:tc>
        <w:tc>
          <w:tcPr>
            <w:tcW w:type="dxa" w:w="2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Daily bag limit</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Legal size</w:t>
            </w:r>
          </w:p>
        </w:tc>
        <w:tc>
          <w:tcPr>
            <w:tcW w:type="dxa" w:w="44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Season structure</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To 1929</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 closed season</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1929 to 1942</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36 clams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3.5 in</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 closed season</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1943 to 1947</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36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Mar 1 to Sep 30</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1948 to 1959</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24 clams (18 in 1950)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Mar 1 to Sep 30</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1960 to 1972</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18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Mar 1 to Sep 30</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1973 to 1983</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Oct 1 to Jun 30; summer closure begins; several conservation closures</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1984 to 1986</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1984 closed (NIX); limited 1985 and 1986 openers</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1987 to 1995</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Beaches opened and closed independently; spring a.m. and fall p.m. odd-day openers</w:t>
            </w:r>
          </w:p>
        </w:tc>
      </w:tr>
      <w:tr>
        <w:tc>
          <w:tcPr>
            <w:tcW w:type="dxa" w:w="1600"/>
            <w:tcMar>
              <w:top w:type="dxa" w:w="50"/>
              <w:left w:type="dxa" w:w="80"/>
              <w:bottom w:type="dxa" w:w="50"/>
              <w:right w:type="dxa" w:w="80"/>
            </w:tcMar>
          </w:tcPr>
          <w:p>
            <w:pPr>
              <w:spacing w:after="0" w:before="0" w:line="240"/>
            </w:pPr>
            <w:r>
              <w:rPr>
                <w:b/>
                <w:bCs/>
                <w:i w:val="false"/>
                <w:iCs w:val="false"/>
                <w:sz w:val="17"/>
                <w:szCs w:val="17"/>
              </w:rPr>
              <w:t xml:space="preserve">1996 to present</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15 clams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None</w:t>
            </w:r>
          </w:p>
        </w:tc>
        <w:tc>
          <w:tcPr>
            <w:tcW w:type="dxa" w:w="44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Oct to May, selected days on the best low-tide series; beaches managed independently</w:t>
            </w:r>
          </w:p>
        </w:tc>
      </w:tr>
    </w:tbl>
    <w:p>
      <w:pPr>
        <w:spacing w:after="120"/>
      </w:pPr>
    </w:p>
    <w:p>
      <w:pPr>
        <w:spacing w:after="120" w:before="0" w:line="276"/>
      </w:pPr>
      <w:r>
        <w:rPr>
          <w:sz w:val="21"/>
          <w:szCs w:val="21"/>
        </w:rPr>
        <w:t xml:space="preserve">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pPr>
        <w:pStyle w:val="Heading2"/>
        <w:spacing w:after="100" w:before="200"/>
      </w:pPr>
      <w:r>
        <w:t xml:space="preserve">7.7 Marine toxins and the Commission management policy</w:t>
      </w:r>
    </w:p>
    <w:p>
      <w:pPr>
        <w:spacing w:after="120" w:before="0" w:line="276"/>
      </w:pPr>
      <w:r>
        <w:rPr>
          <w:sz w:val="21"/>
          <w:szCs w:val="21"/>
        </w:rPr>
        <w:t xml:space="preserve">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pPr>
        <w:spacing w:after="120" w:before="0" w:line="276"/>
      </w:pPr>
      <w:r>
        <w:rPr>
          <w:sz w:val="21"/>
          <w:szCs w:val="21"/>
        </w:rPr>
        <w:t xml:space="preserve">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pPr>
        <w:pStyle w:val="Heading1"/>
        <w:spacing w:after="140" w:before="280"/>
      </w:pPr>
      <w:r>
        <w:t xml:space="preserve">8. The supporting databases</w:t>
      </w:r>
    </w:p>
    <w:p>
      <w:pPr>
        <w:pStyle w:val="Heading2"/>
        <w:spacing w:after="100" w:before="200"/>
      </w:pPr>
      <w:r>
        <w:t xml:space="preserve">8.1 Recreational-harvest (creel) database</w:t>
      </w:r>
    </w:p>
    <w:p>
      <w:pPr>
        <w:spacing w:after="120" w:before="0" w:line="276"/>
      </w:pPr>
      <w:r>
        <w:rPr>
          <w:sz w:val="21"/>
          <w:szCs w:val="21"/>
        </w:rPr>
        <w:t xml:space="preserve">A Microsoft Access database (ACE14) holds the counts, interviews, wastage, and lengths, with a parent events table keyed by EventID and children keyed by EventID and segment LocationID. It spans 13 October 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pPr>
        <w:spacing w:after="120" w:before="0" w:line="276"/>
      </w:pPr>
      <w:r>
        <w:rPr>
          <w:sz w:val="21"/>
          <w:szCs w:val="21"/>
        </w:rPr>
        <w:t xml:space="preserve">The full extraction is now a first-class artifact. All 21 tables are exported verbatim with mdbtools, cleaned by a documented and audited layer, and recomputed to four grains by a single script. Nothing downstream requires Access.</w:t>
      </w:r>
    </w:p>
    <w:p>
      <w:pPr>
        <w:pStyle w:val="Heading2"/>
        <w:spacing w:after="100" w:before="200"/>
      </w:pPr>
      <w:r>
        <w:t xml:space="preserve">8.2 Ingress/egress survey database</w:t>
      </w:r>
    </w:p>
    <w:p>
      <w:pPr>
        <w:spacing w:after="120" w:before="0" w:line="276"/>
      </w:pPr>
      <w:r>
        <w:rPr>
          <w:sz w:val="21"/>
          <w:szCs w:val="21"/>
        </w:rPr>
        <w:t xml:space="preserve">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pPr>
        <w:pStyle w:val="Heading2"/>
        <w:spacing w:after="100" w:before="200"/>
      </w:pPr>
      <w:r>
        <w:t xml:space="preserve">8.3 Why aggregates are recomputed from raw tables</w:t>
      </w:r>
    </w:p>
    <w:p>
      <w:pPr>
        <w:spacing w:after="120" w:before="0" w:line="276"/>
      </w:pPr>
      <w:r>
        <w:rPr>
          <w:sz w:val="21"/>
          <w:szCs w:val="21"/>
        </w:rPr>
        <w:t xml:space="preserve">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pPr>
        <w:pStyle w:val="Heading1"/>
        <w:spacing w:after="140" w:before="280"/>
      </w:pPr>
      <w:r>
        <w:t xml:space="preserve">9. Data quality and known issues</w:t>
      </w:r>
    </w:p>
    <w:p>
      <w:pPr>
        <w:spacing w:after="120" w:before="0" w:line="276"/>
      </w:pPr>
      <w:r>
        <w:rPr>
          <w:sz w:val="21"/>
          <w:szCs w:val="21"/>
        </w:rPr>
        <w:t xml:space="preserve">The following are confirmed in the data and should be handled before any recompute. They are documented in full, with counts and evidence, in the harvest-database data dictionary, the effort-expansion protocol, and the Data_Issues sheets of the companion workbooks.</w:t>
      </w:r>
    </w:p>
    <w:p>
      <w:pPr>
        <w:keepNext/>
        <w:spacing w:after="60" w:before="140"/>
      </w:pPr>
      <w:r>
        <w:rPr>
          <w:b/>
          <w:bCs/>
          <w:sz w:val="18"/>
          <w:szCs w:val="18"/>
        </w:rPr>
        <w:t xml:space="preserve">Table 9. </w:t>
      </w:r>
      <w:r>
        <w:rPr>
          <w:i/>
          <w:iCs/>
          <w:sz w:val="18"/>
          <w:szCs w:val="18"/>
        </w:rPr>
        <w:t xml:space="preserve">Confirmed defects in the harvest database and the in-season workbooks.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2500"/>
        <w:gridCol w:w="6860"/>
      </w:tblGrid>
      <w:tr>
        <w:trPr>
          <w:tblHeader/>
        </w:trPr>
        <w:tc>
          <w:tcPr>
            <w:tcW w:type="dxa" w:w="2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Issue</w:t>
            </w:r>
          </w:p>
        </w:tc>
        <w:tc>
          <w:tcPr>
            <w:tcW w:type="dxa" w:w="68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Effect and handling</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Beach-name spellings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Three spellings of Long Beach undercount it by about 36 percent if grouped raw; normalize to the canonical beach before grouping.</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Duplicate count rows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Exact-duplicate count rows (whole events entered twice) double-count effort; for example they overstate Twin Harbors 2022-23 by about 16 percent. Remove exact duplicates unconditionally (82 rows).</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Mis-entered count rows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few per-group records were typed into the count table (cars at least twice people). Remove them; EventIDs 469, 509, 2590.</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People-per-car field</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interview cars field stores people per car, not a vehicle count; misreading it corrupts effort.</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Impossible values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handful of interviews carry impossible clam or people counts. Cap or nullify the offending value, not the whole interview.</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Stored summary inflation</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Stored summary sums are inflated by the count-row join (section 8.3); recompute from raw.</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No per-count time</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Count rows carry no time field, so genuine replicate counts cannot be distinguished from duplicates except by value, nor matched to the correction-factor reference time. Add a count-time field.</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Correction factor out of range</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One event carries CF = 2.100 and six are below 0.25. CF is a fraction of the day's effort present at the count, so any value outside (0, 1] is an error. Set out-of-range values to the beach preset and log the change.</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Duplicate events versus the Long Beach split</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Ten beach-dates carry two events with overlapping census segments and are duplicates. Fifty-three carry two events with disjoint segments and are the Long Beach halves. Distinguish by segment set, never by beach and date alone.</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Stored working and summary tables are stale</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For 476 events the stored expanded effort does not equal its own inputs. Recompute from the raw tables.</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Recomputed CPUE exceeds the daily bag limit</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The 2017-18 Effort tab is a mid-season snapshot</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It holds 10 of 27 dig days and ends 4 Dec 2017. It carries no wastage. The season record is the FINAL printout, which is in the repository and reconciles to the database on 66 of 67 open beach-days (Table 5). Use the printout, not the tab.</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The 2022-23 workbook omits an entire tide series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Effort tab ends 25 Apr 2023. The 4 to 14 May 2023 series, 33 open beach-days on the program's own sample schedule, appears nowhere in the workbook. The database holds 22 of those beach-days, worth 61,959 digger trips, 26.1 percent of the workbook's coastwide total of 237,419. The remaining 11, at Long Beach and Twin Harbors, were never counted and must be imputed. The published 2022-23 season totals are not season totals.</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The 2023-24 workbook is complete; an earlier snapshot is not</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file in the repository holds all 100 dig days to 12 May 2024. A superseded snapshot ending 18 Nov 2023 is the basis of the coverage sheet in the recompute workbook, whose 2023-24 rows are therefore stale (section 10.2).</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The 2017-18 published wastage has no source</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printout reports 109,381 clams of wastage. The workbook's four Wastage sheets are empty, its ESTIMATED WASTAGE RATE cell is blank, and the database holds wastage surveys only for Mocrocks (5 rows) and Twin Harbors (2 rows), together 12,764 clams. The published figure cannot be reproduced from any surviving record.</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Stale labels and SUM ranges in the 2017-18 workbook</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Its season-total row is labelled FALL 2014 - SPRING 2015, its harvest-rate row Fall 2016 / Spring 2017, and its Kalaloch total reads SUM(N3:N53) against data to row 86. Its Day column carries October 2016 dates on the first two rows.</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Seven dig days dated a year early</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Rows for 14 to 20 January in the 2021-22 workbook carry 2021 dates and belong to 2022. Proven by the weekday column and by the presence of events on those dates in 2022 and their absence in 2021.</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Arithmetic errors in the in-season workbooks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tc>
          <w:tcPr>
            <w:tcW w:type="dxa" w:w="2500"/>
            <w:tcMar>
              <w:top w:type="dxa" w:w="50"/>
              <w:left w:type="dxa" w:w="80"/>
              <w:bottom w:type="dxa" w:w="50"/>
              <w:right w:type="dxa" w:w="80"/>
            </w:tcMar>
          </w:tcPr>
          <w:p>
            <w:pPr>
              <w:spacing w:after="0" w:before="0" w:line="240"/>
            </w:pPr>
            <w:r>
              <w:rPr>
                <w:b w:val="false"/>
                <w:bCs w:val="false"/>
                <w:i w:val="false"/>
                <w:iCs w:val="false"/>
                <w:sz w:val="16"/>
                <w:szCs w:val="16"/>
              </w:rPr>
              <w:t xml:space="preserve">2007-08 season totals contradict their own daily rows</w:t>
            </w:r>
          </w:p>
        </w:tc>
        <w:tc>
          <w:tcPr>
            <w:tcW w:type="dxa" w:w="68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SEASON TOTALS row holds typed pre-revision numbers while the daily rows below it hold the 2013-revised values, 13 to 30 percent higher. The published effort series carries the pre-revision values for 2007-08 through 2011-12.</w:t>
            </w:r>
          </w:p>
        </w:tc>
      </w:tr>
      <w:tr>
        <w:tc>
          <w:tcPr>
            <w:tcW w:type="dxa" w:w="2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Kalaloch has no expansion table and few events</w:t>
            </w:r>
          </w:p>
        </w:tc>
        <w:tc>
          <w:tcPr>
            <w:tcW w:type="dxa" w:w="6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See section 7.5. Forty beach-days of typed effort against fifteen database beach-dates, and a correction-factor table that is a Mocrocks survey.</w:t>
            </w:r>
          </w:p>
        </w:tc>
      </w:tr>
    </w:tbl>
    <w:p>
      <w:pPr>
        <w:spacing w:after="120"/>
      </w:pPr>
    </w:p>
    <w:p>
      <w:pPr>
        <w:spacing w:after="120" w:before="0" w:line="276"/>
      </w:pPr>
      <w:r>
        <w:rPr>
          <w:sz w:val="21"/>
          <w:szCs w:val="21"/>
        </w:rPr>
        <w:t xml:space="preserve">Two further defect classes were found while building the companion data products and have not previously been recorded anywhere. Both bear on whether the sampled-versus-estimated distinction in the effort series can be trusted at all.</w:t>
      </w:r>
    </w:p>
    <w:p>
      <w:pPr>
        <w:keepNext/>
        <w:spacing w:after="60" w:before="140"/>
      </w:pPr>
      <w:r>
        <w:rPr>
          <w:b/>
          <w:bCs/>
          <w:sz w:val="18"/>
          <w:szCs w:val="18"/>
        </w:rPr>
        <w:t xml:space="preserve">Table 10. </w:t>
      </w:r>
      <w:r>
        <w:rPr>
          <w:i/>
          <w:iCs/>
          <w:sz w:val="18"/>
          <w:szCs w:val="18"/>
        </w:rPr>
        <w:t xml:space="preserve">Flag symbols used in the in-season Effort tabs, and what they actually mean.</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700"/>
        <w:gridCol w:w="3000"/>
        <w:gridCol w:w="4660"/>
      </w:tblGrid>
      <w:tr>
        <w:trPr>
          <w:tblHeader/>
        </w:trPr>
        <w:tc>
          <w:tcPr>
            <w:tcW w:type="dxa" w:w="17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Symbol</w:t>
            </w:r>
          </w:p>
        </w:tc>
        <w:tc>
          <w:tcPr>
            <w:tcW w:type="dxa" w:w="3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Legend as printed</w:t>
            </w:r>
          </w:p>
        </w:tc>
        <w:tc>
          <w:tcPr>
            <w:tcW w:type="dxa" w:w="46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it means for sampling status</w:t>
            </w:r>
          </w:p>
        </w:tc>
      </w:tr>
      <w:tr>
        <w:tc>
          <w:tcPr>
            <w:tcW w:type="dxa" w:w="1700"/>
            <w:tcMar>
              <w:top w:type="dxa" w:w="50"/>
              <w:left w:type="dxa" w:w="80"/>
              <w:bottom w:type="dxa" w:w="50"/>
              <w:right w:type="dxa" w:w="80"/>
            </w:tcMar>
          </w:tcPr>
          <w:p>
            <w:pPr>
              <w:spacing w:after="0" w:before="0" w:line="240"/>
            </w:pPr>
            <w:r>
              <w:rPr>
                <w:b w:val="false"/>
                <w:bCs w:val="false"/>
                <w:i w:val="false"/>
                <w:iCs w:val="false"/>
                <w:sz w:val="16"/>
                <w:szCs w:val="16"/>
              </w:rPr>
              <w:t xml:space="preserve">*</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Estimate based on comparison of other beaches</w:t>
            </w:r>
          </w:p>
        </w:tc>
        <w:tc>
          <w:tcPr>
            <w:tcW w:type="dxa" w:w="46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beach was not counted.</w:t>
            </w:r>
          </w:p>
        </w:tc>
      </w:tr>
      <w:tr>
        <w:tc>
          <w:tcPr>
            <w:tcW w:type="dxa" w:w="17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  (2013-14, 2014-15)</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Seahawks play in Superbowl. Low attendance.</w:t>
            </w:r>
          </w:p>
        </w:tc>
        <w:tc>
          <w:tcPr>
            <w:tcW w:type="dxa" w:w="4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note on attendance. The beach WAS counted. On 2 Feb 2014 Mocrocks is EventID 914 with six census rows and four interviews.</w:t>
            </w:r>
          </w:p>
        </w:tc>
      </w:tr>
      <w:tr>
        <w:tc>
          <w:tcPr>
            <w:tcW w:type="dxa" w:w="1700"/>
            <w:tcMar>
              <w:top w:type="dxa" w:w="50"/>
              <w:left w:type="dxa" w:w="80"/>
              <w:bottom w:type="dxa" w:w="50"/>
              <w:right w:type="dxa" w:w="80"/>
            </w:tcMar>
          </w:tcPr>
          <w:p>
            <w:pPr>
              <w:spacing w:after="0" w:before="0" w:line="240"/>
            </w:pPr>
            <w:r>
              <w:rPr>
                <w:b w:val="false"/>
                <w:bCs w:val="false"/>
                <w:i w:val="false"/>
                <w:iCs w:val="false"/>
                <w:sz w:val="16"/>
                <w:szCs w:val="16"/>
              </w:rPr>
              <w:t xml:space="preserve">**  (2015-16 onward)</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No beach count. Used data from another day.</w:t>
            </w:r>
          </w:p>
        </w:tc>
        <w:tc>
          <w:tcPr>
            <w:tcW w:type="dxa" w:w="46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beach was not counted.</w:t>
            </w:r>
          </w:p>
        </w:tc>
      </w:tr>
      <w:tr>
        <w:tc>
          <w:tcPr>
            <w:tcW w:type="dxa" w:w="17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No harvest due to very heavy surf and storm warnings</w:t>
            </w:r>
          </w:p>
        </w:tc>
        <w:tc>
          <w:tcPr>
            <w:tcW w:type="dxa" w:w="4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note on conditions. Says nothing about sampling.</w:t>
            </w:r>
          </w:p>
        </w:tc>
      </w:tr>
      <w:tr>
        <w:tc>
          <w:tcPr>
            <w:tcW w:type="dxa" w:w="1700"/>
            <w:tcMar>
              <w:top w:type="dxa" w:w="50"/>
              <w:left w:type="dxa" w:w="80"/>
              <w:bottom w:type="dxa" w:w="50"/>
              <w:right w:type="dxa" w:w="80"/>
            </w:tcMar>
          </w:tcPr>
          <w:p>
            <w:pPr>
              <w:spacing w:after="0" w:before="0" w:line="240"/>
            </w:pPr>
            <w:r>
              <w:rPr>
                <w:b w:val="false"/>
                <w:bCs w:val="false"/>
                <w:i w:val="false"/>
                <w:iCs w:val="false"/>
                <w:sz w:val="16"/>
                <w:szCs w:val="16"/>
              </w:rPr>
              <w:t xml:space="preserve">#</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Tide is not low enough for decent digging opportunity</w:t>
            </w:r>
          </w:p>
        </w:tc>
        <w:tc>
          <w:tcPr>
            <w:tcW w:type="dxa" w:w="46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note on conditions. Says nothing about sampling.</w:t>
            </w:r>
          </w:p>
        </w:tc>
      </w:tr>
      <w:tr>
        <w:tc>
          <w:tcPr>
            <w:tcW w:type="dxa" w:w="17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(no flag)</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46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Ambiguous. Twelve beach-days carry a derivation formula with no flag, and 63 flagged beach-days hold a typed number with no derivation.</w:t>
            </w:r>
          </w:p>
        </w:tc>
      </w:tr>
    </w:tbl>
    <w:p>
      <w:pPr>
        <w:spacing w:after="180" w:before="60"/>
      </w:pPr>
      <w:r>
        <w:rPr>
          <w:i/>
          <w:iCs/>
          <w:color w:val="595959"/>
          <w:sz w:val="17"/>
          <w:szCs w:val="17"/>
        </w:rPr>
        <w:t xml:space="preserve">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 Where the workbook is complete the agreement is exact: in 2022-23 all 17 flagged Long Beach beach-days and all 20 flagged Twin Harbors beach-days are precisely those with no census, and in 2023-24 all 44 and all 28 likewise.</w:t>
      </w:r>
    </w:p>
    <w:p>
      <w:pPr>
        <w:keepNext/>
        <w:spacing w:after="60" w:before="140"/>
      </w:pPr>
      <w:r>
        <w:rPr>
          <w:b/>
          <w:bCs/>
          <w:sz w:val="18"/>
          <w:szCs w:val="18"/>
        </w:rPr>
        <w:t xml:space="preserve">Table 11. </w:t>
      </w:r>
      <w:r>
        <w:rPr>
          <w:i/>
          <w:iCs/>
          <w:sz w:val="18"/>
          <w:szCs w:val="18"/>
        </w:rPr>
        <w:t xml:space="preserve">Defects in the egress survey record, the data behind every correction factor.</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500"/>
        <w:gridCol w:w="900"/>
        <w:gridCol w:w="3400"/>
        <w:gridCol w:w="4560"/>
      </w:tblGrid>
      <w:tr>
        <w:trPr>
          <w:tblHeader/>
        </w:trPr>
        <w:tc>
          <w:tcPr>
            <w:tcW w:type="dxa" w:w="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Severity</w:t>
            </w:r>
          </w:p>
        </w:tc>
        <w:tc>
          <w:tcPr>
            <w:tcW w:type="dxa" w:w="34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Issue</w:t>
            </w:r>
          </w:p>
        </w:tc>
        <w:tc>
          <w:tcPr>
            <w:tcW w:type="dxa" w:w="45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Effect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Kalaloch expansion table is the Mocrocks survey of 1 April 1998</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Every Kalaloch harvest estimate has been expanded on Mocrocks effort behaviour. Direction and magnitude of bias unknown.</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ingress database collapses three bins into one for the Mocrocks 9 Oct 2010 survey</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Curves pooled straight from the database mis-place 40 cars-on into a single early bin, distorting the leading edge of the Mocrocks evening curve.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Probable transcription error in the Mocrocks 21 Apr 2011 cars-on</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stored 3 should almost certainly be 23. The Mocrocks daylight curve is understated by up to 3.7 percentage points from 1:00 to 0:45 onward.</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database stores the Mocrocks prior-to-start values in the wrong column</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Any query reading prior-to-start, or reporting the survey window, is wrong for every Mocrocks event.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Duplicate prior-to-start inflates the Long Beach 2004 south survey by 3.7 percent</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High</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Identical counts filed under two dates eight years apart (27 Mar 1998 and 11 May 1990)</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This is the single largest Long Beach survey on record, 2,344 cars. Pooling both files double-counts it.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Inconsistent pooling convention for prior-to-start</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 folds the earlier survey's prior into the first common bin; Twin Harbors simply sums the priors. The bin that anchors the whole cumulative curve is treated differently on different beaches.</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8</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1998 per-approach sheets under-record prior-to-start</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Cumulative cars-off exceed cars-on on four approach sheets, giving negative cars on beach. The per-approach sheets cannot be used; the summaries are sound.</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Low</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1998 summaries divide percent available by the wrong denominator</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Percent available overstated by 0.47 percent at Long Beach and 0.14 percent at Twin Harbors throughout those curves.</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11</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Ingress_Egress_review.xls is misaligned and mislabelled</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Its Copalis 2011 PM column pools a daylight survey into an evening curve. If this sheet was ever used to justify a table revision, the justification is unsound.</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12</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Low</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 and Twin Harbors have no daylight expansion table</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Daylight openers at those beaches are expanded with an evening table or with an undocumented factor, despite four daylight surveys existing at each.</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13</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Low</w:t>
            </w:r>
          </w:p>
        </w:tc>
        <w:tc>
          <w:tcPr>
            <w:tcW w:type="dxa" w:w="3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Hand-appended tail values with no survey behind them</w:t>
            </w:r>
          </w:p>
        </w:tc>
        <w:tc>
          <w:tcPr>
            <w:tcW w:type="dxa" w:w="4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Five values in the Copalis and Mocrocks daylight tables extend past the last bin any survey recorded. The Mocrocks tail implies effort dropping from 20.5 to 1.2 percent in one hour, steeper than any observed survey.</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Medium</w:t>
            </w:r>
          </w:p>
        </w:tc>
        <w:tc>
          <w:tcPr>
            <w:tcW w:type="dxa" w:w="3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Pooled tables mix surveys with different window lengths, and do not say so</w:t>
            </w:r>
          </w:p>
        </w:tc>
        <w:tc>
          <w:tcPr>
            <w:tcW w:type="dxa" w:w="4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post-low bins of a pooled table rest on fewer surveys than the pre-low bins. Nothing in the table records how many.</w:t>
            </w:r>
          </w:p>
        </w:tc>
      </w:tr>
    </w:tbl>
    <w:p>
      <w:pPr>
        <w:spacing w:after="180" w:before="60"/>
      </w:pPr>
      <w:r>
        <w:rPr>
          <w:i/>
          <w:iCs/>
          <w:color w:val="595959"/>
          <w:sz w:val="17"/>
          <w:szCs w:val="17"/>
        </w:rPr>
        <w:t xml:space="preserve">Numbering follows the Data_Issues sheet of the consolidated ingress/egress workbook; issues 10 and 14 are cosmetic and are omitted here.</w:t>
      </w:r>
    </w:p>
    <w:p>
      <w:pPr>
        <w:pStyle w:val="Heading1"/>
        <w:spacing w:after="140" w:before="280"/>
      </w:pPr>
      <w:r>
        <w:t xml:space="preserve">10. Where the error enters: a step-by-step budget</w:t>
      </w:r>
    </w:p>
    <w:p>
      <w:pPr>
        <w:spacing w:after="120" w:before="0" w:line="276"/>
      </w:pPr>
      <w:r>
        <w:rPr>
          <w:sz w:val="21"/>
          <w:szCs w:val="21"/>
        </w:rPr>
        <w:t xml:space="preserve">The published harvest estimate is a point estimate produced by a chain of nine steps. Each step substitutes a modelled or sampled quantity for one that was not observed. Table 12 names the step, the substitution it makes, the error that substitution introduces, whether that error is currently quantified, and the experiment or calculation that would quantify it. The steps are ordered as the calculation runs, not by importance.</w:t>
      </w:r>
    </w:p>
    <w:p>
      <w:pPr>
        <w:keepNext/>
        <w:spacing w:after="60" w:before="140"/>
      </w:pPr>
      <w:r>
        <w:rPr>
          <w:b/>
          <w:bCs/>
          <w:sz w:val="18"/>
          <w:szCs w:val="18"/>
        </w:rPr>
        <w:t xml:space="preserve">Table 12. </w:t>
      </w:r>
      <w:r>
        <w:rPr>
          <w:i/>
          <w:iCs/>
          <w:sz w:val="18"/>
          <w:szCs w:val="18"/>
        </w:rPr>
        <w:t xml:space="preserve">The nine-step error budget of the recreational harvest estimate.</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1650"/>
        <w:gridCol w:w="3000"/>
        <w:gridCol w:w="1800"/>
        <w:gridCol w:w="141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Step</w:t>
            </w:r>
          </w:p>
        </w:tc>
        <w:tc>
          <w:tcPr>
            <w:tcW w:type="dxa" w:w="165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is estimated</w:t>
            </w:r>
          </w:p>
        </w:tc>
        <w:tc>
          <w:tcPr>
            <w:tcW w:type="dxa" w:w="3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Error introduced</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Quantified today</w:t>
            </w:r>
          </w:p>
        </w:tc>
        <w:tc>
          <w:tcPr>
            <w:tcW w:type="dxa" w:w="141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would quantify it</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1. Beach count</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People present on each segment at one instant</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Observer miscount; segments missed; the count takes 26 to 31 minutes, so it is not instantaneous</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No</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Replicate counts by independent observers on a subset of dig days</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 Digging fraction</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Share of people present who are digging</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Interview sampling error; interviewed groups may not represent the beach</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by interview bootstrap</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Done</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3. People from cars or lanterns</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People when the crew counted vehicles or lights, not people</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Model error in people-per-car and diggers-per-lantern, and in the 2.67 fallback constant</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No</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Paired counts of people and cars on the same segment</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4. Correction factor</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Share of the day's effort present during the count window</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Table vintage; condition assignment; count window placement; the tables pool three or four surveys and carry no per-bin survey count</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(section 10.3). Between-survey relative sd 4.5 to 7.3 percent at Long Beach, 4.3 to 5.2 at Twin Harbors, 3.7 to 6.9 at Mocrocks, 12.4 to 13.7 at Copalis. Systematic, so it does not average down</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Locate the post-2013 tables and recover the 2012 to 2021 surveys to shrink it; publish a per-bin survey count with every table</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5. CPUE</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Clams per digger trip</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Interview sampling error; impossible values (section 9); interviews are a median 3.4 percent of estimated digger trips. On estimated beach-days CPUE is typed by hand: 507 of 660 cells, 15.8 percent of them exactly 15</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for counted days. For estimated days the transfer error has sd of log ratio 0.448</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Substitute the donor's measured CPUE</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6. Imputation for unmonitored beach-days</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Effort and harvest on a beach nobody counted</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Assumes the donor-to-target ratio is stable between the reference day and the dig day. Carries 32 percent of coastwide effort in 2025-26, and 57 percent of Long Beach effort</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(section 10.2)</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Apply the multiplier correction; it raises Long Beach 2025-26 effort by 9.0 percent</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7. Long Beach section ratio</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The half of Long Beach that was not walked</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Same class of error as step 6, within the beach, but half the magnitude: sd of log error 0.281. Carries a further 29 percent of Long Beach effort in 2025-26</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(section 10.2), on 96 paired days</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Walk all seven segments on any counted Long Beach day</w:t>
            </w:r>
          </w:p>
        </w:tc>
      </w:tr>
      <w:tr>
        <w:tc>
          <w:tcPr>
            <w:tcW w:type="dxa" w:w="1500"/>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8. Wastage</w:t>
            </w:r>
          </w:p>
        </w:tc>
        <w:tc>
          <w:tcPr>
            <w:tcW w:type="dxa" w:w="165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Clams dug and not retained</w:t>
            </w:r>
          </w:p>
        </w:tc>
        <w:tc>
          <w:tcPr>
            <w:tcW w:type="dxa" w:w="3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A flat proportion from a subset of events, absent on many night and low-effort tides</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No</w:t>
            </w:r>
          </w:p>
        </w:tc>
        <w:tc>
          <w:tcPr>
            <w:tcW w:type="dxa" w:w="141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Bootstrap hole surveys; report coverage</w:t>
            </w:r>
          </w:p>
        </w:tc>
      </w:tr>
      <w:tr>
        <w:tc>
          <w:tcPr>
            <w:tcW w:type="dxa" w:w="1500"/>
            <w:tcMar>
              <w:top w:type="dxa" w:w="50"/>
              <w:left w:type="dxa" w:w="80"/>
              <w:bottom w:type="dxa" w:w="50"/>
              <w:right w:type="dxa" w:w="80"/>
            </w:tcMar>
          </w:tcPr>
          <w:p>
            <w:pPr>
              <w:spacing w:after="0" w:before="0" w:line="240"/>
            </w:pPr>
            <w:r>
              <w:rPr>
                <w:b w:val="false"/>
                <w:bCs w:val="false"/>
                <w:i w:val="false"/>
                <w:iCs w:val="false"/>
                <w:sz w:val="15"/>
                <w:szCs w:val="15"/>
              </w:rPr>
              <w:t xml:space="preserve">9. Roll-up and transcription</w:t>
            </w:r>
          </w:p>
        </w:tc>
        <w:tc>
          <w:tcPr>
            <w:tcW w:type="dxa" w:w="1650"/>
            <w:tcMar>
              <w:top w:type="dxa" w:w="50"/>
              <w:left w:type="dxa" w:w="80"/>
              <w:bottom w:type="dxa" w:w="50"/>
              <w:right w:type="dxa" w:w="80"/>
            </w:tcMar>
          </w:tcPr>
          <w:p>
            <w:pPr>
              <w:spacing w:after="0" w:before="0" w:line="240"/>
              <w:jc w:val="center"/>
            </w:pPr>
            <w:r>
              <w:rPr>
                <w:b w:val="false"/>
                <w:bCs w:val="false"/>
                <w:i w:val="false"/>
                <w:iCs w:val="false"/>
                <w:sz w:val="15"/>
                <w:szCs w:val="15"/>
              </w:rPr>
              <w:t xml:space="preserve">Season totals per beach</w:t>
            </w:r>
          </w:p>
        </w:tc>
        <w:tc>
          <w:tcPr>
            <w:tcW w:type="dxa" w:w="30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Formula and range errors in the in-season workbooks (section 9); truncated workbooks; a season total that does not equal the sum of its own daily rows</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5"/>
                <w:szCs w:val="15"/>
              </w:rPr>
              <w:t xml:space="preserve">Yes, and correctable</w:t>
            </w:r>
          </w:p>
        </w:tc>
        <w:tc>
          <w:tcPr>
            <w:tcW w:type="dxa" w:w="1410"/>
            <w:tcMar>
              <w:top w:type="dxa" w:w="50"/>
              <w:left w:type="dxa" w:w="80"/>
              <w:bottom w:type="dxa" w:w="50"/>
              <w:right w:type="dxa" w:w="80"/>
            </w:tcMar>
          </w:tcPr>
          <w:p>
            <w:pPr>
              <w:spacing w:after="0" w:before="0" w:line="240"/>
              <w:jc w:val="center"/>
            </w:pPr>
            <w:r>
              <w:rPr>
                <w:b w:val="false"/>
                <w:bCs w:val="false"/>
                <w:i w:val="false"/>
                <w:iCs w:val="false"/>
                <w:sz w:val="15"/>
                <w:szCs w:val="15"/>
              </w:rPr>
              <w:t xml:space="preserve">Generate the season workbook from the database rather than maintaining it by hand</w:t>
            </w:r>
          </w:p>
        </w:tc>
      </w:tr>
    </w:tbl>
    <w:p>
      <w:pPr>
        <w:spacing w:after="120"/>
      </w:pPr>
    </w:p>
    <w:p>
      <w:pPr>
        <w:spacing w:after="120" w:before="0" w:line="276"/>
      </w:pPr>
      <w:r>
        <w:rPr>
          <w:b/>
          <w:bCs/>
          <w:sz w:val="21"/>
          <w:szCs w:val="21"/>
        </w:rPr>
        <w:t xml:space="preserve">Reading the budget. </w:t>
      </w:r>
      <w:r>
        <w:rPr>
          <w:sz w:val="21"/>
          <w:szCs w:val="21"/>
        </w:rPr>
        <w:t xml:space="preserve">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pPr>
        <w:pStyle w:val="Heading2"/>
        <w:spacing w:after="100" w:before="200"/>
      </w:pPr>
      <w:r>
        <w:t xml:space="preserve">10.1 What dominates a season total, and why it is not what it looks like</w:t>
      </w:r>
    </w:p>
    <w:p>
      <w:pPr>
        <w:spacing w:after="120" w:before="0" w:line="276"/>
      </w:pPr>
      <w:r>
        <w:rPr>
          <w:sz w:val="21"/>
          <w:szCs w:val="21"/>
        </w:rPr>
        <w:t xml:space="preserve">Two of the sources in the budget have now been quantified, and the result reverses the intuition above. The reason is correlation, not magnitude.</w:t>
      </w:r>
    </w:p>
    <w:p>
      <w:pPr>
        <w:spacing w:after="120" w:before="0" w:line="276"/>
      </w:pPr>
      <w:r>
        <w:rPr>
          <w:sz w:val="21"/>
          <w:szCs w:val="21"/>
        </w:rPr>
        <w:t xml:space="preserve">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pPr>
        <w:spacing w:after="120" w:before="0" w:line="276"/>
      </w:pPr>
      <w:r>
        <w:rPr>
          <w:sz w:val="21"/>
          <w:szCs w:val="21"/>
        </w:rPr>
        <w:t xml:space="preserve">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pPr>
        <w:spacing w:after="120" w:before="0" w:line="276"/>
      </w:pPr>
      <w:r>
        <w:rPr>
          <w:sz w:val="21"/>
          <w:szCs w:val="21"/>
        </w:rPr>
        <w:t xml:space="preserve">Propagating both, together with interview error and the CPUE transfer error, gives the variance shares below, averaged over the seasons from 2019-20 onward.</w:t>
      </w:r>
    </w:p>
    <w:p>
      <w:pPr>
        <w:keepNext/>
        <w:spacing w:after="40" w:before="120"/>
        <w:jc w:val="center"/>
      </w:pPr>
      <w:r>
        <w:drawing>
          <wp:inline distT="0" distB="0" distL="0" distR="0">
            <wp:extent cx="59436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162300"/>
                    </a:xfrm>
                    <a:prstGeom prst="rect">
                      <a:avLst/>
                    </a:prstGeom>
                  </pic:spPr>
                </pic:pic>
              </a:graphicData>
            </a:graphic>
          </wp:inline>
        </w:drawing>
      </w:r>
    </w:p>
    <w:p>
      <w:pPr>
        <w:spacing w:after="180"/>
        <w:jc w:val="left"/>
      </w:pPr>
      <w:r>
        <w:rPr>
          <w:b/>
          <w:bCs/>
          <w:sz w:val="18"/>
          <w:szCs w:val="18"/>
        </w:rPr>
        <w:t xml:space="preserve">Figure 10. </w:t>
      </w:r>
      <w:r>
        <w:rPr>
          <w:i/>
          <w:iCs/>
          <w:sz w:val="18"/>
          <w:szCs w:val="18"/>
        </w:rPr>
        <w:t xml:space="preserve">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pPr>
        <w:keepNext/>
        <w:spacing w:after="60" w:before="140"/>
      </w:pPr>
      <w:r>
        <w:rPr>
          <w:b/>
          <w:bCs/>
          <w:sz w:val="18"/>
          <w:szCs w:val="18"/>
        </w:rPr>
        <w:t xml:space="preserve">Table 13. </w:t>
      </w:r>
      <w:r>
        <w:rPr>
          <w:i/>
          <w:iCs/>
          <w:sz w:val="18"/>
          <w:szCs w:val="18"/>
        </w:rPr>
        <w:t xml:space="preserve">Variance shares of the season total by source, mean over 2019-20 onward.</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98"/>
        <w:gridCol w:w="1175"/>
        <w:gridCol w:w="987"/>
        <w:gridCol w:w="1081"/>
        <w:gridCol w:w="1175"/>
        <w:gridCol w:w="987"/>
        <w:gridCol w:w="1081"/>
        <w:gridCol w:w="1278"/>
      </w:tblGrid>
      <w:tr>
        <w:trPr>
          <w:tblHeader/>
        </w:trPr>
        <w:tc>
          <w:tcPr>
            <w:tcW w:type="dxa" w:w="1598"/>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correction factor</w:t>
            </w:r>
          </w:p>
        </w:tc>
        <w:tc>
          <w:tcPr>
            <w:tcW w:type="dxa" w:w="98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interviews</w:t>
            </w:r>
          </w:p>
        </w:tc>
        <w:tc>
          <w:tcPr>
            <w:tcW w:type="dxa" w:w="108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imputation</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correction factor</w:t>
            </w:r>
          </w:p>
        </w:tc>
        <w:tc>
          <w:tcPr>
            <w:tcW w:type="dxa" w:w="98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interviews</w:t>
            </w:r>
          </w:p>
        </w:tc>
        <w:tc>
          <w:tcPr>
            <w:tcW w:type="dxa" w:w="1081"/>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imputation</w:t>
            </w:r>
          </w:p>
        </w:tc>
        <w:tc>
          <w:tcPr>
            <w:tcW w:type="dxa" w:w="127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CPUE transfer</w:t>
            </w:r>
          </w:p>
        </w:tc>
      </w:tr>
      <w:tr>
        <w:tc>
          <w:tcPr>
            <w:tcW w:type="dxa" w:w="1598"/>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99%</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1%</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97%</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278"/>
            <w:tcMar>
              <w:top w:type="dxa" w:w="50"/>
              <w:left w:type="dxa" w:w="80"/>
              <w:bottom w:type="dxa" w:w="50"/>
              <w:right w:type="dxa" w:w="80"/>
            </w:tcMar>
          </w:tcPr>
          <w:p>
            <w:pPr>
              <w:spacing w:after="0" w:before="0" w:line="240"/>
              <w:jc w:val="center"/>
            </w:pPr>
            <w:r>
              <w:rPr>
                <w:b w:val="false"/>
                <w:bCs w:val="false"/>
                <w:i w:val="false"/>
                <w:iCs w:val="false"/>
                <w:sz w:val="16"/>
                <w:szCs w:val="16"/>
              </w:rPr>
              <w:t xml:space="preserve">1%</w:t>
            </w:r>
          </w:p>
        </w:tc>
      </w:tr>
      <w:tr>
        <w:tc>
          <w:tcPr>
            <w:tcW w:type="dxa" w:w="1598"/>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49%</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45%</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28%</w:t>
            </w:r>
          </w:p>
        </w:tc>
        <w:tc>
          <w:tcPr>
            <w:tcW w:type="dxa" w:w="1278"/>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39%</w:t>
            </w:r>
          </w:p>
        </w:tc>
      </w:tr>
      <w:tr>
        <w:tc>
          <w:tcPr>
            <w:tcW w:type="dxa" w:w="1598"/>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98%</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96%</w:t>
            </w:r>
          </w:p>
        </w:tc>
        <w:tc>
          <w:tcPr>
            <w:tcW w:type="dxa" w:w="987"/>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081"/>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c>
          <w:tcPr>
            <w:tcW w:type="dxa" w:w="1278"/>
            <w:tcMar>
              <w:top w:type="dxa" w:w="50"/>
              <w:left w:type="dxa" w:w="80"/>
              <w:bottom w:type="dxa" w:w="50"/>
              <w:right w:type="dxa" w:w="80"/>
            </w:tcMar>
          </w:tcPr>
          <w:p>
            <w:pPr>
              <w:spacing w:after="0" w:before="0" w:line="240"/>
              <w:jc w:val="center"/>
            </w:pPr>
            <w:r>
              <w:rPr>
                <w:b w:val="false"/>
                <w:bCs w:val="false"/>
                <w:i w:val="false"/>
                <w:iCs w:val="false"/>
                <w:sz w:val="16"/>
                <w:szCs w:val="16"/>
              </w:rPr>
              <w:t xml:space="preserve">0%</w:t>
            </w:r>
          </w:p>
        </w:tc>
      </w:tr>
      <w:tr>
        <w:tc>
          <w:tcPr>
            <w:tcW w:type="dxa" w:w="1598"/>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60%</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36%</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8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w:t>
            </w:r>
          </w:p>
        </w:tc>
        <w:tc>
          <w:tcPr>
            <w:tcW w:type="dxa" w:w="1081"/>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w:t>
            </w:r>
          </w:p>
        </w:tc>
        <w:tc>
          <w:tcPr>
            <w:tcW w:type="dxa" w:w="1278"/>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56%</w:t>
            </w:r>
          </w:p>
        </w:tc>
      </w:tr>
    </w:tbl>
    <w:p>
      <w:pPr>
        <w:spacing w:after="120"/>
      </w:pPr>
    </w:p>
    <w:p>
      <w:pPr>
        <w:spacing w:after="120" w:before="0" w:line="276"/>
      </w:pPr>
      <w:r>
        <w:rPr>
          <w:sz w:val="21"/>
          <w:szCs w:val="21"/>
        </w:rPr>
        <w:t xml:space="preserve">The consequence is counter-intuitive and worth stating plainly. Copalis is counted on every open day it has. It also has the widest season effort interval of the four beaches, because its expansion table rests on three surveys that disagree with one another. Long Beach, 86 percent of whose 2025-26 effort is imputed, has a narrower interval, because its three surveys agree better and its imputation errors partly cancel. Counting more beach-days would not narrow the Copalis interval. Running more egress surveys would.</w:t>
      </w:r>
    </w:p>
    <w:p>
      <w:pPr>
        <w:spacing w:after="120" w:before="0" w:line="276"/>
      </w:pPr>
      <w:r>
        <w:rPr>
          <w:sz w:val="21"/>
          <w:szCs w:val="21"/>
        </w:rPr>
        <w:t xml:space="preserve">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pPr>
        <w:pStyle w:val="Heading2"/>
        <w:spacing w:after="100" w:before="200"/>
      </w:pPr>
      <w:r>
        <w:t xml:space="preserve">10.2 The imputation experiment</w:t>
      </w:r>
    </w:p>
    <w:p>
      <w:pPr>
        <w:spacing w:after="120" w:before="0" w:line="276"/>
      </w:pPr>
      <w:r>
        <w:rPr>
          <w:sz w:val="21"/>
          <w:szCs w:val="21"/>
        </w:rPr>
        <w:t xml:space="preserve">For every beach-day on which the target and its donor were both counted, the workbook's own rule was applied as if the target had not been counted, using the workbook's own reference-day convention, and the 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pPr>
        <w:keepNext/>
        <w:spacing w:after="40" w:before="12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914650"/>
                    </a:xfrm>
                    <a:prstGeom prst="rect">
                      <a:avLst/>
                    </a:prstGeom>
                  </pic:spPr>
                </pic:pic>
              </a:graphicData>
            </a:graphic>
          </wp:inline>
        </w:drawing>
      </w:r>
    </w:p>
    <w:p>
      <w:pPr>
        <w:spacing w:after="180"/>
        <w:jc w:val="left"/>
      </w:pPr>
      <w:r>
        <w:rPr>
          <w:b/>
          <w:bCs/>
          <w:sz w:val="18"/>
          <w:szCs w:val="18"/>
        </w:rPr>
        <w:t xml:space="preserve">Figure 11. </w:t>
      </w:r>
      <w:r>
        <w:rPr>
          <w:i/>
          <w:iCs/>
          <w:sz w:val="18"/>
          <w:szCs w:val="18"/>
        </w:rPr>
        <w:t xml:space="preserve">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pPr>
        <w:keepNext/>
        <w:spacing w:after="60" w:before="140"/>
      </w:pPr>
      <w:r>
        <w:rPr>
          <w:b/>
          <w:bCs/>
          <w:sz w:val="18"/>
          <w:szCs w:val="18"/>
        </w:rPr>
        <w:t xml:space="preserve">Table 14. </w:t>
      </w:r>
      <w:r>
        <w:rPr>
          <w:i/>
          <w:iCs/>
          <w:sz w:val="18"/>
          <w:szCs w:val="18"/>
        </w:rPr>
        <w:t xml:space="preserve">Leave-one-out imputation error by target and donor beach, single beach-days.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700"/>
        <w:gridCol w:w="2000"/>
        <w:gridCol w:w="1300"/>
        <w:gridCol w:w="2000"/>
        <w:gridCol w:w="1300"/>
        <w:gridCol w:w="1060"/>
      </w:tblGrid>
      <w:tr>
        <w:trPr>
          <w:tblHeader/>
        </w:trPr>
        <w:tc>
          <w:tcPr>
            <w:tcW w:type="dxa" w:w="17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Target</w:t>
            </w:r>
          </w:p>
        </w:tc>
        <w:tc>
          <w:tcPr>
            <w:tcW w:type="dxa" w:w="2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Donor</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Paired days</w:t>
            </w:r>
          </w:p>
        </w:tc>
        <w:tc>
          <w:tcPr>
            <w:tcW w:type="dxa" w:w="2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Median ratio (imputed / actual)</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sd of log error</w:t>
            </w:r>
          </w:p>
        </w:tc>
        <w:tc>
          <w:tcPr>
            <w:tcW w:type="dxa" w:w="10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 absolute percentage error</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186</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1.011</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0.615</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55%</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156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0.959</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0.476</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39%</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Twin Harbors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190</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1.015</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0.446</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37%</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0.989</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0.615</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57%</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Copalis+Mocrocks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97</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0.985</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0.425</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37%</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246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1.001</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0.641</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58%</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Twin Harbors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321</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1.034</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0.550</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50%</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156</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1.042</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0.476</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43%</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246</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0.999</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0.641</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55%</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Twin Harbors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258</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1.024</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0.532</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190</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0.985</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0.446</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37%</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Copalis+Mocrocks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78</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1.016</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0.368</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30%</w:t>
            </w:r>
          </w:p>
        </w:tc>
      </w:tr>
      <w:tr>
        <w:tc>
          <w:tcPr>
            <w:tcW w:type="dxa" w:w="17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Long Beach</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321</w:t>
            </w:r>
          </w:p>
        </w:tc>
        <w:tc>
          <w:tcPr>
            <w:tcW w:type="dxa" w:w="2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0.967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0.550</w:t>
            </w:r>
          </w:p>
        </w:tc>
        <w:tc>
          <w:tcPr>
            <w:tcW w:type="dxa" w:w="1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r>
      <w:tr>
        <w:tc>
          <w:tcPr>
            <w:tcW w:type="dxa" w:w="17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Mocrocks</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258</w:t>
            </w:r>
          </w:p>
        </w:tc>
        <w:tc>
          <w:tcPr>
            <w:tcW w:type="dxa" w:w="2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0.977</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0.532</w:t>
            </w:r>
          </w:p>
        </w:tc>
        <w:tc>
          <w:tcPr>
            <w:tcW w:type="dxa" w:w="1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45%</w:t>
            </w:r>
          </w:p>
        </w:tc>
      </w:tr>
    </w:tbl>
    <w:p>
      <w:pPr>
        <w:spacing w:after="180" w:before="60"/>
      </w:pPr>
      <w:r>
        <w:rPr>
          <w:i/>
          <w:iCs/>
          <w:color w:val="595959"/>
          <w:sz w:val="17"/>
          <w:szCs w:val="17"/>
        </w:rPr>
        <w:t xml:space="preserve">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pPr>
        <w:keepNext/>
        <w:spacing w:after="60" w:before="140"/>
      </w:pPr>
      <w:r>
        <w:rPr>
          <w:b/>
          <w:bCs/>
          <w:sz w:val="18"/>
          <w:szCs w:val="18"/>
        </w:rPr>
        <w:t xml:space="preserve">Table 15. </w:t>
      </w:r>
      <w:r>
        <w:rPr>
          <w:i/>
          <w:iCs/>
          <w:sz w:val="18"/>
          <w:szCs w:val="18"/>
        </w:rPr>
        <w:t xml:space="preserve">How the imputation error behaves as it is aggregated, and the empirical bias multipliers.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2400"/>
        <w:gridCol w:w="800"/>
        <w:gridCol w:w="1000"/>
        <w:gridCol w:w="1100"/>
        <w:gridCol w:w="1500"/>
        <w:gridCol w:w="1300"/>
        <w:gridCol w:w="700"/>
        <w:gridCol w:w="560"/>
      </w:tblGrid>
      <w:tr>
        <w:trPr>
          <w:tblHeader/>
        </w:trPr>
        <w:tc>
          <w:tcPr>
            <w:tcW w:type="dxa" w:w="24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Aggregation level</w:t>
            </w:r>
          </w:p>
        </w:tc>
        <w:tc>
          <w:tcPr>
            <w:tcW w:type="dxa" w:w="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n</w:t>
            </w:r>
          </w:p>
        </w:tc>
        <w:tc>
          <w:tcPr>
            <w:tcW w:type="dxa" w:w="10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Median ratio</w:t>
            </w:r>
          </w:p>
        </w:tc>
        <w:tc>
          <w:tcPr>
            <w:tcW w:type="dxa" w:w="1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sd of log error</w:t>
            </w:r>
          </w:p>
        </w:tc>
        <w:tc>
          <w:tcPr>
            <w:tcW w:type="dxa" w:w="15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 absolute percentage error</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Mean multiplier, bottom third</w:t>
            </w:r>
          </w:p>
        </w:tc>
        <w:tc>
          <w:tcPr>
            <w:tcW w:type="dxa" w:w="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middle third</w:t>
            </w:r>
          </w:p>
        </w:tc>
        <w:tc>
          <w:tcPr>
            <w:tcW w:type="dxa" w:w="5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top third</w:t>
            </w:r>
          </w:p>
        </w:tc>
      </w:tr>
      <w:tr>
        <w:tc>
          <w:tcPr>
            <w:tcW w:type="dxa" w:w="2400"/>
            <w:tcMar>
              <w:top w:type="dxa" w:w="50"/>
              <w:left w:type="dxa" w:w="80"/>
              <w:bottom w:type="dxa" w:w="50"/>
              <w:right w:type="dxa" w:w="80"/>
            </w:tcMar>
          </w:tcPr>
          <w:p>
            <w:pPr>
              <w:spacing w:after="0" w:before="0" w:line="240"/>
            </w:pPr>
            <w:r>
              <w:rPr>
                <w:b/>
                <w:bCs/>
                <w:i w:val="false"/>
                <w:iCs w:val="false"/>
                <w:sz w:val="16"/>
                <w:szCs w:val="16"/>
              </w:rPr>
              <w:t xml:space="preserve">Single beach-day, cross-beach</w:t>
            </w:r>
          </w:p>
        </w:tc>
        <w:tc>
          <w:tcPr>
            <w:tcW w:type="dxa" w:w="8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2,889</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1.000</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0.541</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47%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1.463</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1.120</w:t>
            </w:r>
          </w:p>
        </w:tc>
        <w:tc>
          <w:tcPr>
            <w:tcW w:type="dxa" w:w="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0.905</w:t>
            </w:r>
          </w:p>
        </w:tc>
      </w:tr>
      <w:tr>
        <w:tc>
          <w:tcPr>
            <w:tcW w:type="dxa" w:w="24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Tide-series sum, 2 imputed days</w:t>
            </w:r>
          </w:p>
        </w:tc>
        <w:tc>
          <w:tcPr>
            <w:tcW w:type="dxa" w:w="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874</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1.015</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0.256</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1.051</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0.962</w:t>
            </w:r>
          </w:p>
        </w:tc>
        <w:tc>
          <w:tcPr>
            <w:tcW w:type="dxa" w:w="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0.922</w:t>
            </w:r>
          </w:p>
        </w:tc>
      </w:tr>
      <w:tr>
        <w:tc>
          <w:tcPr>
            <w:tcW w:type="dxa" w:w="2400"/>
            <w:tcMar>
              <w:top w:type="dxa" w:w="50"/>
              <w:left w:type="dxa" w:w="80"/>
              <w:bottom w:type="dxa" w:w="50"/>
              <w:right w:type="dxa" w:w="80"/>
            </w:tcMar>
          </w:tcPr>
          <w:p>
            <w:pPr>
              <w:spacing w:after="0" w:before="0" w:line="240"/>
            </w:pPr>
            <w:r>
              <w:rPr>
                <w:b/>
                <w:bCs/>
                <w:i w:val="false"/>
                <w:iCs w:val="false"/>
                <w:sz w:val="16"/>
                <w:szCs w:val="16"/>
              </w:rPr>
              <w:t xml:space="preserve">Tide-series sum, 3 to 4 imputed days</w:t>
            </w:r>
          </w:p>
        </w:tc>
        <w:tc>
          <w:tcPr>
            <w:tcW w:type="dxa" w:w="8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308</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1.031</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0.207</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16.4%</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r>
        <w:tc>
          <w:tcPr>
            <w:tcW w:type="dxa" w:w="24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Tide-series sum, 5 or more imputed days</w:t>
            </w:r>
          </w:p>
        </w:tc>
        <w:tc>
          <w:tcPr>
            <w:tcW w:type="dxa" w:w="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26</w:t>
            </w:r>
          </w:p>
        </w:tc>
        <w:tc>
          <w:tcPr>
            <w:tcW w:type="dxa" w:w="10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1.066</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12.8%</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5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r>
        <w:tc>
          <w:tcPr>
            <w:tcW w:type="dxa" w:w="2400"/>
            <w:tcMar>
              <w:top w:type="dxa" w:w="50"/>
              <w:left w:type="dxa" w:w="80"/>
              <w:bottom w:type="dxa" w:w="50"/>
              <w:right w:type="dxa" w:w="80"/>
            </w:tcMar>
          </w:tcPr>
          <w:p>
            <w:pPr>
              <w:spacing w:after="0" w:before="0" w:line="240"/>
            </w:pPr>
            <w:r>
              <w:rPr>
                <w:b/>
                <w:bCs/>
                <w:i w:val="false"/>
                <w:iCs w:val="false"/>
                <w:sz w:val="16"/>
                <w:szCs w:val="16"/>
              </w:rPr>
              <w:t xml:space="preserve">Long Beach section rule, single day</w:t>
            </w:r>
          </w:p>
        </w:tc>
        <w:tc>
          <w:tcPr>
            <w:tcW w:type="dxa" w:w="8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96</w:t>
            </w:r>
          </w:p>
        </w:tc>
        <w:tc>
          <w:tcPr>
            <w:tcW w:type="dxa" w:w="10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1.000</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0.281</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1.273</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5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0.809</w:t>
            </w:r>
          </w:p>
        </w:tc>
      </w:tr>
    </w:tbl>
    <w:p>
      <w:pPr>
        <w:spacing w:after="180" w:before="60"/>
      </w:pPr>
      <w:r>
        <w:rPr>
          <w:i/>
          <w:iCs/>
          <w:color w:val="595959"/>
          <w:sz w:val="17"/>
          <w:szCs w:val="17"/>
        </w:rPr>
        <w:t xml:space="preserve">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pPr>
        <w:spacing w:after="120" w:before="0" w:line="276"/>
      </w:pPr>
      <w:r>
        <w:rPr>
          <w:sz w:val="21"/>
          <w:szCs w:val="21"/>
        </w:rPr>
        <w:t xml:space="preserve">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pPr>
        <w:spacing w:after="120" w:before="0" w:line="276"/>
      </w:pPr>
      <w:r>
        <w:rPr>
          <w:sz w:val="21"/>
          <w:szCs w:val="21"/>
        </w:rPr>
        <w:t xml:space="preserve">Error grows with the lag between the dig day and the reference day: the standard deviation of the log error is 0.493 at a lag of one day, 0.571 at two, 0.595 at three, and 0.742 at four to five. Reference days should be the nearest, not the most convenient.</w:t>
      </w:r>
    </w:p>
    <w:p>
      <w:pPr>
        <w:spacing w:after="120" w:before="0" w:line="276"/>
      </w:pPr>
      <w:r>
        <w:rPr>
          <w:b/>
          <w:bCs/>
          <w:sz w:val="21"/>
          <w:szCs w:val="21"/>
        </w:rPr>
        <w:t xml:space="preserve">Three disagreements between companion products, flagged rather than resolved. </w:t>
      </w:r>
      <w:r>
        <w:rPr>
          <w:sz w:val="21"/>
          <w:szCs w:val="21"/>
        </w:rPr>
        <w:t xml:space="preserve">First, the correction workbook and the imputation workbook use different pools for the donor-to-target CPUE transfer error: 0.448 over 3,430 paired beach-days in the former, 0.461 over 1,906 paired days in the latter. The 0.448 figure is the operative one because it is the value the variance model actually draws from. Second, the two workbooks disagree on the bias-adjusted 2025-26 coastwide effort: 321,705 digger trips from the per-beach corrections, against 314,700 from the imputation-only calculation, a difference of 2.2 percent, because the latter does not apply the Long Beach section-rule multiplier. Third, and newly identified in version 5, the coverage sheet of the recompute workbook was built on a superseded 2023-24 snapshot and on whole-season database effort divided by partial-season workbook totals for 2017-18 and 2022-23. Its coverage shares for those three seasons are wrong by wide margins, for example 6.006 for Copalis in 2023-24 and 1.282 in 2022-23. The corrected shares are those in Figure 4. Nothing else in the workbook depends on that sheet, and no published estimate does.</w:t>
      </w:r>
    </w:p>
    <w:p>
      <w:pPr>
        <w:pStyle w:val="Heading2"/>
        <w:spacing w:after="100" w:before="200"/>
      </w:pPr>
      <w:r>
        <w:t xml:space="preserve">10.3 The correction-factor experiment</w:t>
      </w:r>
    </w:p>
    <w:p>
      <w:pPr>
        <w:spacing w:after="120" w:before="0" w:line="276"/>
      </w:pPr>
      <w:r>
        <w:rPr>
          <w:sz w:val="21"/>
          <w:szCs w:val="21"/>
        </w:rP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at any count window. Because the count window is itself recoverable from the stored correction factor (section 5.5), this can be done per event.</w:t>
      </w:r>
    </w:p>
    <w:p>
      <w:pPr>
        <w:keepNext/>
        <w:spacing w:after="60" w:before="140"/>
      </w:pPr>
      <w:r>
        <w:rPr>
          <w:b/>
          <w:bCs/>
          <w:sz w:val="18"/>
          <w:szCs w:val="18"/>
        </w:rPr>
        <w:t xml:space="preserve">Table 16. </w:t>
      </w:r>
      <w:r>
        <w:rPr>
          <w:i/>
          <w:iCs/>
          <w:sz w:val="18"/>
          <w:szCs w:val="18"/>
        </w:rPr>
        <w:t xml:space="preserve">Bootstrap of the correction factor at each beach's modal count window.</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36"/>
        <w:gridCol w:w="1355"/>
        <w:gridCol w:w="1717"/>
        <w:gridCol w:w="1265"/>
        <w:gridCol w:w="1084"/>
        <w:gridCol w:w="994"/>
        <w:gridCol w:w="1409"/>
      </w:tblGrid>
      <w:tr>
        <w:trPr>
          <w:tblHeader/>
        </w:trPr>
        <w:tc>
          <w:tcPr>
            <w:tcW w:type="dxa" w:w="1536"/>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35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Component surveys</w:t>
            </w:r>
          </w:p>
        </w:tc>
        <w:tc>
          <w:tcPr>
            <w:tcW w:type="dxa" w:w="1717"/>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 window (min before low)</w:t>
            </w:r>
          </w:p>
        </w:tc>
        <w:tc>
          <w:tcPr>
            <w:tcW w:type="dxa" w:w="126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Correction factor</w:t>
            </w:r>
          </w:p>
        </w:tc>
        <w:tc>
          <w:tcPr>
            <w:tcW w:type="dxa" w:w="108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Bootstrap sd</w:t>
            </w:r>
          </w:p>
        </w:tc>
        <w:tc>
          <w:tcPr>
            <w:tcW w:type="dxa" w:w="99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Relative sd</w:t>
            </w:r>
          </w:p>
        </w:tc>
        <w:tc>
          <w:tcPr>
            <w:tcW w:type="dxa" w:w="1409"/>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95 percent interval</w:t>
            </w:r>
          </w:p>
        </w:tc>
      </w:tr>
      <w:tr>
        <w:tc>
          <w:tcPr>
            <w:tcW w:type="dxa" w:w="1536"/>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355"/>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717"/>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120 to 90</w:t>
            </w:r>
          </w:p>
        </w:tc>
        <w:tc>
          <w:tcPr>
            <w:tcW w:type="dxa" w:w="1265"/>
            <w:tcMar>
              <w:top w:type="dxa" w:w="50"/>
              <w:left w:type="dxa" w:w="80"/>
              <w:bottom w:type="dxa" w:w="50"/>
              <w:right w:type="dxa" w:w="80"/>
            </w:tcMar>
          </w:tcPr>
          <w:p>
            <w:pPr>
              <w:spacing w:after="0" w:before="0" w:line="240"/>
              <w:jc w:val="center"/>
            </w:pPr>
            <w:r>
              <w:rPr>
                <w:b w:val="false"/>
                <w:bCs w:val="false"/>
                <w:i w:val="false"/>
                <w:iCs w:val="false"/>
                <w:sz w:val="16"/>
                <w:szCs w:val="16"/>
              </w:rPr>
              <w:t xml:space="preserve">0.727</w:t>
            </w:r>
          </w:p>
        </w:tc>
        <w:tc>
          <w:tcPr>
            <w:tcW w:type="dxa" w:w="10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0.0406</w:t>
            </w:r>
          </w:p>
        </w:tc>
        <w:tc>
          <w:tcPr>
            <w:tcW w:type="dxa" w:w="994"/>
            <w:tcMar>
              <w:top w:type="dxa" w:w="50"/>
              <w:left w:type="dxa" w:w="80"/>
              <w:bottom w:type="dxa" w:w="50"/>
              <w:right w:type="dxa" w:w="80"/>
            </w:tcMar>
          </w:tcPr>
          <w:p>
            <w:pPr>
              <w:spacing w:after="0" w:before="0" w:line="240"/>
              <w:jc w:val="center"/>
            </w:pPr>
            <w:r>
              <w:rPr>
                <w:b w:val="false"/>
                <w:bCs w:val="false"/>
                <w:i w:val="false"/>
                <w:iCs w:val="false"/>
                <w:sz w:val="16"/>
                <w:szCs w:val="16"/>
              </w:rPr>
              <w:t xml:space="preserve">5.6%</w:t>
            </w:r>
          </w:p>
        </w:tc>
        <w:tc>
          <w:tcPr>
            <w:tcW w:type="dxa" w:w="1409"/>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0.577 to 0.781</w:t>
            </w:r>
          </w:p>
        </w:tc>
      </w:tr>
      <w:tr>
        <w:tc>
          <w:tcPr>
            <w:tcW w:type="dxa" w:w="1536"/>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35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71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120 to 90</w:t>
            </w:r>
          </w:p>
        </w:tc>
        <w:tc>
          <w:tcPr>
            <w:tcW w:type="dxa" w:w="126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0.531</w:t>
            </w:r>
          </w:p>
        </w:tc>
        <w:tc>
          <w:tcPr>
            <w:tcW w:type="dxa" w:w="10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0.0273</w:t>
            </w:r>
          </w:p>
        </w:tc>
        <w:tc>
          <w:tcPr>
            <w:tcW w:type="dxa" w:w="99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140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0.459 to 0.574</w:t>
            </w:r>
          </w:p>
        </w:tc>
      </w:tr>
      <w:tr>
        <w:tc>
          <w:tcPr>
            <w:tcW w:type="dxa" w:w="1536"/>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355"/>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717"/>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105 to 75</w:t>
            </w:r>
          </w:p>
        </w:tc>
        <w:tc>
          <w:tcPr>
            <w:tcW w:type="dxa" w:w="1265"/>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0.502</w:t>
            </w:r>
          </w:p>
        </w:tc>
        <w:tc>
          <w:tcPr>
            <w:tcW w:type="dxa" w:w="10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0.0631</w:t>
            </w:r>
          </w:p>
        </w:tc>
        <w:tc>
          <w:tcPr>
            <w:tcW w:type="dxa" w:w="994"/>
            <w:tcMar>
              <w:top w:type="dxa" w:w="50"/>
              <w:left w:type="dxa" w:w="80"/>
              <w:bottom w:type="dxa" w:w="50"/>
              <w:right w:type="dxa" w:w="80"/>
            </w:tcMar>
          </w:tcPr>
          <w:p>
            <w:pPr>
              <w:spacing w:after="0" w:before="0" w:line="240"/>
              <w:jc w:val="center"/>
            </w:pPr>
            <w:r>
              <w:rPr>
                <w:b w:val="false"/>
                <w:bCs w:val="false"/>
                <w:i w:val="false"/>
                <w:iCs w:val="false"/>
                <w:sz w:val="16"/>
                <w:szCs w:val="16"/>
              </w:rPr>
              <w:t xml:space="preserve">12.6%</w:t>
            </w:r>
          </w:p>
        </w:tc>
        <w:tc>
          <w:tcPr>
            <w:tcW w:type="dxa" w:w="1409"/>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0.344 to 0.569</w:t>
            </w:r>
          </w:p>
        </w:tc>
      </w:tr>
      <w:tr>
        <w:tc>
          <w:tcPr>
            <w:tcW w:type="dxa" w:w="1536"/>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35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1717"/>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90 to 60</w:t>
            </w:r>
          </w:p>
        </w:tc>
        <w:tc>
          <w:tcPr>
            <w:tcW w:type="dxa" w:w="126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0.575</w:t>
            </w:r>
          </w:p>
        </w:tc>
        <w:tc>
          <w:tcPr>
            <w:tcW w:type="dxa" w:w="10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0.0543</w:t>
            </w:r>
          </w:p>
        </w:tc>
        <w:tc>
          <w:tcPr>
            <w:tcW w:type="dxa" w:w="99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9.5%</w:t>
            </w:r>
          </w:p>
        </w:tc>
        <w:tc>
          <w:tcPr>
            <w:tcW w:type="dxa" w:w="140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0.473 to 0.671</w:t>
            </w:r>
          </w:p>
        </w:tc>
      </w:tr>
    </w:tbl>
    <w:p>
      <w:pPr>
        <w:spacing w:after="180" w:before="60"/>
      </w:pPr>
      <w:r>
        <w:rPr>
          <w:i/>
          <w:iCs/>
          <w:color w:val="595959"/>
          <w:sz w:val="17"/>
          <w:szCs w:val="17"/>
        </w:rPr>
        <w:t xml:space="preserve">The correction factors here are those of the 2012 to 2013 tables, because those are the tables whose component surveys are known. The relative standard deviation is what is transferred to the operational correction factors, not the level. Compare Table 7: the operational Long Beach factor at this window is 0.546, not 0.727.</w:t>
      </w:r>
    </w:p>
    <w:p>
      <w:pPr>
        <w:spacing w:after="120" w:before="0" w:line="276"/>
      </w:pPr>
      <w:r>
        <w:rPr>
          <w:b/>
          <w:bCs/>
          <w:sz w:val="21"/>
          <w:szCs w:val="21"/>
        </w:rPr>
        <w:t xml:space="preserve">Two assumptions are load-bearing. </w:t>
      </w:r>
      <w:r>
        <w:rPr>
          <w:sz w:val="21"/>
          <w:szCs w:val="21"/>
        </w:rPr>
        <w:t xml:space="preserve">The operational tables for Long Beach, Copalis and Mocrocks were refined after 2013 and their component surveys have not been located (section 6.3), so the relative standard deviation measured on the 2013-vintage tables is transferred to the operational correction factors. If the current tables rest on more surveys, this overstates their error; if on the same three, it does not. And three surveys is a very small bootstrap: the central estimate of the relative standard deviation is usable, its tails are not. Both point the same way. Locating the current tables and recovering the 2012 to 2021 surveys is the highest-value data-recovery task in the program, because it is the only thing that would narrow the interval on a beach that is already fully counted.</w:t>
      </w:r>
    </w:p>
    <w:p>
      <w:pPr>
        <w:pStyle w:val="Heading2"/>
        <w:spacing w:after="100" w:before="200"/>
      </w:pPr>
      <w:r>
        <w:t xml:space="preserve">10.4 What the interval covers, and what it does not</w:t>
      </w:r>
    </w:p>
    <w:p>
      <w:pPr>
        <w:spacing w:after="120" w:before="0" w:line="276"/>
      </w:pPr>
      <w:r>
        <w:rPr>
          <w:sz w:val="21"/>
          <w:szCs w:val="21"/>
        </w:rPr>
        <w:t xml:space="preserve">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pPr>
        <w:keepNext/>
        <w:spacing w:after="40" w:before="120"/>
        <w:jc w:val="center"/>
      </w:pPr>
      <w:r>
        <w:drawing>
          <wp:inline distT="0" distB="0" distL="0" distR="0">
            <wp:extent cx="59436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400425"/>
                    </a:xfrm>
                    <a:prstGeom prst="rect">
                      <a:avLst/>
                    </a:prstGeom>
                  </pic:spPr>
                </pic:pic>
              </a:graphicData>
            </a:graphic>
          </wp:inline>
        </w:drawing>
      </w:r>
    </w:p>
    <w:p>
      <w:pPr>
        <w:spacing w:after="180"/>
        <w:jc w:val="left"/>
      </w:pPr>
      <w:r>
        <w:rPr>
          <w:b/>
          <w:bCs/>
          <w:sz w:val="18"/>
          <w:szCs w:val="18"/>
        </w:rPr>
        <w:t xml:space="preserve">Figure 12. </w:t>
      </w:r>
      <w:r>
        <w:rPr>
          <w:i/>
          <w:iCs/>
          <w:sz w:val="18"/>
          <w:szCs w:val="18"/>
        </w:rPr>
        <w:t xml:space="preserve">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 Two seasons are marked. The open diamond at 2017-18 is the FINAL printout, the season of record; the grey cross beneath it is the mid-season snapshot that the workbooks and the uncertainty model actually used, and it understates the season by a factor of two to three. The inverted triangle at 2022-23 marks a season whose workbook omits the May 2023 tide series and therefore understates coastwide effort by at least 26 percent.</w:t>
      </w:r>
    </w:p>
    <w:p>
      <w:pPr>
        <w:spacing w:after="120" w:before="0" w:line="276"/>
      </w:pPr>
      <w:r>
        <w:rPr>
          <w:b/>
          <w:bCs/>
          <w:sz w:val="21"/>
          <w:szCs w:val="21"/>
        </w:rPr>
        <w:t xml:space="preserve">The intervals are right-skewed, and version 3 misstated this. </w:t>
      </w:r>
      <w:r>
        <w:rPr>
          <w:sz w:val="21"/>
          <w:szCs w:val="21"/>
        </w:rPr>
        <w:t xml:space="preserve">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17 and to every band in Figure 12.</w:t>
      </w:r>
    </w:p>
    <w:p>
      <w:pPr>
        <w:keepNext/>
        <w:spacing w:after="60" w:before="140"/>
      </w:pPr>
      <w:r>
        <w:rPr>
          <w:b/>
          <w:bCs/>
          <w:sz w:val="18"/>
          <w:szCs w:val="18"/>
        </w:rPr>
        <w:t xml:space="preserve">Table 17. </w:t>
      </w:r>
      <w:r>
        <w:rPr>
          <w:i/>
          <w:iCs/>
          <w:sz w:val="18"/>
          <w:szCs w:val="18"/>
        </w:rPr>
        <w:t xml:space="preserve">Corrected season estimates and 95 percent intervals, 2023-24 to 2025-26. Effort in digger trips; harvest in clams before wastage.</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846"/>
        <w:gridCol w:w="1128"/>
        <w:gridCol w:w="1034"/>
        <w:gridCol w:w="1034"/>
        <w:gridCol w:w="658"/>
        <w:gridCol w:w="1598"/>
        <w:gridCol w:w="658"/>
        <w:gridCol w:w="1128"/>
        <w:gridCol w:w="658"/>
        <w:gridCol w:w="620"/>
      </w:tblGrid>
      <w:tr>
        <w:trPr>
          <w:tblHeader/>
        </w:trPr>
        <w:tc>
          <w:tcPr>
            <w:tcW w:type="dxa" w:w="846"/>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Season</w:t>
            </w:r>
          </w:p>
        </w:tc>
        <w:tc>
          <w:tcPr>
            <w:tcW w:type="dxa" w:w="112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Beach</w:t>
            </w:r>
          </w:p>
        </w:tc>
        <w:tc>
          <w:tcPr>
            <w:tcW w:type="dxa" w:w="103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workbook</w:t>
            </w:r>
          </w:p>
        </w:tc>
        <w:tc>
          <w:tcPr>
            <w:tcW w:type="dxa" w:w="103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corrected</w:t>
            </w:r>
          </w:p>
        </w:tc>
        <w:tc>
          <w:tcPr>
            <w:tcW w:type="dxa" w:w="65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Bias</w:t>
            </w:r>
          </w:p>
        </w:tc>
        <w:tc>
          <w:tcPr>
            <w:tcW w:type="dxa" w:w="159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95% interval</w:t>
            </w:r>
          </w:p>
        </w:tc>
        <w:tc>
          <w:tcPr>
            <w:tcW w:type="dxa" w:w="65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Effort CV</w:t>
            </w:r>
          </w:p>
        </w:tc>
        <w:tc>
          <w:tcPr>
            <w:tcW w:type="dxa" w:w="112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corrected</w:t>
            </w:r>
          </w:p>
        </w:tc>
        <w:tc>
          <w:tcPr>
            <w:tcW w:type="dxa" w:w="658"/>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Bias</w:t>
            </w:r>
          </w:p>
        </w:tc>
        <w:tc>
          <w:tcPr>
            <w:tcW w:type="dxa" w:w="62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Harvest CV</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Copalis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86,088</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86,088</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76,465 to 125,084</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1,054,633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-2.9%</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1523829.98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Long Beach</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114,614</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120,321</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+5.0%</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108,141 to 142,913</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0.07</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1,531,375</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+5.7%</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2183953.46</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Mocrocks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60,278</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60,278</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52,039 to 73,045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0.09</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767,090</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934345.58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2023-24</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Twin Harbors</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90,082</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91,147</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83,126 to 104,777</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1,126,946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1492625.50</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Copalis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66,628</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66,647</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59,131 to 97,103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791,289</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1149524.97</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Long Beach</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96,152</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104,415</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94,720 to 123,594</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0.07</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1,313,276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+7.2%</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1761285.44</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Mocrocks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51,840</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51,882</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44,368 to 63,250</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0.10</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610,023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-1.9%</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749267.08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2024-25</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Twin Harbors</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98,096</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101,720</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+3.7%</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93,283 to 116,366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1,258,356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+0.8%</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1519730.78</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Copalis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72,865</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72,865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64,526 to 106,100</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0.14</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861,865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1248179.18</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Long Beach</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104,090</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113,483</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+9.0%</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102,369 to 134,882</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0.07</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1,402,956</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+5.5%</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2021832.09</w:t>
            </w:r>
          </w:p>
        </w:tc>
      </w:tr>
      <w:tr>
        <w:tc>
          <w:tcPr>
            <w:tcW w:type="dxa" w:w="846"/>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Mocrocks</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38,563</w:t>
            </w:r>
          </w:p>
        </w:tc>
        <w:tc>
          <w:tcPr>
            <w:tcW w:type="dxa" w:w="1034"/>
            <w:tcMar>
              <w:top w:type="dxa" w:w="50"/>
              <w:left w:type="dxa" w:w="80"/>
              <w:bottom w:type="dxa" w:w="50"/>
              <w:right w:type="dxa" w:w="80"/>
            </w:tcMar>
          </w:tcPr>
          <w:p>
            <w:pPr>
              <w:spacing w:after="0" w:before="0" w:line="240"/>
              <w:jc w:val="center"/>
            </w:pPr>
            <w:r>
              <w:rPr>
                <w:b w:val="false"/>
                <w:bCs w:val="false"/>
                <w:i w:val="false"/>
                <w:iCs w:val="false"/>
                <w:sz w:val="15"/>
                <w:szCs w:val="15"/>
              </w:rPr>
              <w:t xml:space="preserve">38,563</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w:t>
            </w:r>
          </w:p>
        </w:tc>
        <w:tc>
          <w:tcPr>
            <w:tcW w:type="dxa" w:w="1598"/>
            <w:tcMar>
              <w:top w:type="dxa" w:w="50"/>
              <w:left w:type="dxa" w:w="80"/>
              <w:bottom w:type="dxa" w:w="50"/>
              <w:right w:type="dxa" w:w="80"/>
            </w:tcMar>
          </w:tcPr>
          <w:p>
            <w:pPr>
              <w:spacing w:after="0" w:before="0" w:line="240"/>
              <w:jc w:val="center"/>
            </w:pPr>
            <w:r>
              <w:rPr>
                <w:b w:val="false"/>
                <w:bCs w:val="false"/>
                <w:i w:val="false"/>
                <w:iCs w:val="false"/>
                <w:sz w:val="15"/>
                <w:szCs w:val="15"/>
              </w:rPr>
              <w:t xml:space="preserve">33,678 to 46,517</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0.09</w:t>
            </w:r>
          </w:p>
        </w:tc>
        <w:tc>
          <w:tcPr>
            <w:tcW w:type="dxa" w:w="1128"/>
            <w:tcMar>
              <w:top w:type="dxa" w:w="50"/>
              <w:left w:type="dxa" w:w="80"/>
              <w:bottom w:type="dxa" w:w="50"/>
              <w:right w:type="dxa" w:w="80"/>
            </w:tcMar>
          </w:tcPr>
          <w:p>
            <w:pPr>
              <w:spacing w:after="0" w:before="0" w:line="240"/>
              <w:jc w:val="center"/>
            </w:pPr>
            <w:r>
              <w:rPr>
                <w:b w:val="false"/>
                <w:bCs w:val="false"/>
                <w:i w:val="false"/>
                <w:iCs w:val="false"/>
                <w:sz w:val="15"/>
                <w:szCs w:val="15"/>
              </w:rPr>
              <w:t xml:space="preserve">411,195</w:t>
            </w:r>
          </w:p>
        </w:tc>
        <w:tc>
          <w:tcPr>
            <w:tcW w:type="dxa" w:w="658"/>
            <w:tcMar>
              <w:top w:type="dxa" w:w="50"/>
              <w:left w:type="dxa" w:w="80"/>
              <w:bottom w:type="dxa" w:w="50"/>
              <w:right w:type="dxa" w:w="80"/>
            </w:tcMar>
          </w:tcPr>
          <w:p>
            <w:pPr>
              <w:spacing w:after="0" w:before="0" w:line="240"/>
              <w:jc w:val="center"/>
            </w:pPr>
            <w:r>
              <w:rPr>
                <w:b w:val="false"/>
                <w:bCs w:val="false"/>
                <w:i w:val="false"/>
                <w:iCs w:val="false"/>
                <w:sz w:val="15"/>
                <w:szCs w:val="15"/>
              </w:rPr>
              <w:t xml:space="preserve">-0.1%</w:t>
            </w:r>
          </w:p>
        </w:tc>
        <w:tc>
          <w:tcPr>
            <w:tcW w:type="dxa" w:w="620"/>
            <w:tcMar>
              <w:top w:type="dxa" w:w="50"/>
              <w:left w:type="dxa" w:w="80"/>
              <w:bottom w:type="dxa" w:w="50"/>
              <w:right w:type="dxa" w:w="80"/>
            </w:tcMar>
          </w:tcPr>
          <w:p>
            <w:pPr>
              <w:spacing w:after="0" w:before="0" w:line="240"/>
              <w:jc w:val="center"/>
            </w:pPr>
            <w:r>
              <w:rPr>
                <w:b w:val="false"/>
                <w:bCs w:val="false"/>
                <w:i w:val="false"/>
                <w:iCs w:val="false"/>
                <w:sz w:val="15"/>
                <w:szCs w:val="15"/>
              </w:rPr>
              <w:t xml:space="preserve">497876.15</w:t>
            </w:r>
          </w:p>
        </w:tc>
      </w:tr>
      <w:tr>
        <w:tc>
          <w:tcPr>
            <w:tcW w:type="dxa" w:w="846"/>
            <w:shd w:fill="F5F7F9" w:color="auto" w:val="clear"/>
            <w:tcMar>
              <w:top w:type="dxa" w:w="50"/>
              <w:left w:type="dxa" w:w="80"/>
              <w:bottom w:type="dxa" w:w="50"/>
              <w:right w:type="dxa" w:w="80"/>
            </w:tcMar>
          </w:tcPr>
          <w:p>
            <w:pPr>
              <w:spacing w:after="0" w:before="0" w:line="240"/>
            </w:pPr>
            <w:r>
              <w:rPr>
                <w:b w:val="false"/>
                <w:bCs w:val="false"/>
                <w:i w:val="false"/>
                <w:iCs w:val="false"/>
                <w:sz w:val="15"/>
                <w:szCs w:val="15"/>
              </w:rPr>
              <w:t xml:space="preserve">2025-26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Twin Harbors</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93,256</w:t>
            </w:r>
          </w:p>
        </w:tc>
        <w:tc>
          <w:tcPr>
            <w:tcW w:type="dxa" w:w="1034"/>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96,794</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+3.8%</w:t>
            </w:r>
          </w:p>
        </w:tc>
        <w:tc>
          <w:tcPr>
            <w:tcW w:type="dxa" w:w="159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87,739 to 110,644</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0.06</w:t>
            </w:r>
          </w:p>
        </w:tc>
        <w:tc>
          <w:tcPr>
            <w:tcW w:type="dxa" w:w="112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1,176,111</w:t>
            </w:r>
          </w:p>
        </w:tc>
        <w:tc>
          <w:tcPr>
            <w:tcW w:type="dxa" w:w="658"/>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+0.6%</w:t>
            </w:r>
          </w:p>
        </w:tc>
        <w:tc>
          <w:tcPr>
            <w:tcW w:type="dxa" w:w="620"/>
            <w:shd w:fill="F5F7F9" w:color="auto" w:val="clear"/>
            <w:tcMar>
              <w:top w:type="dxa" w:w="50"/>
              <w:left w:type="dxa" w:w="80"/>
              <w:bottom w:type="dxa" w:w="50"/>
              <w:right w:type="dxa" w:w="80"/>
            </w:tcMar>
          </w:tcPr>
          <w:p>
            <w:pPr>
              <w:spacing w:after="0" w:before="0" w:line="240"/>
              <w:jc w:val="center"/>
            </w:pPr>
            <w:r>
              <w:rPr>
                <w:b w:val="false"/>
                <w:bCs w:val="false"/>
                <w:i w:val="false"/>
                <w:iCs w:val="false"/>
                <w:sz w:val="15"/>
                <w:szCs w:val="15"/>
              </w:rPr>
              <w:t xml:space="preserve">1431747.68</w:t>
            </w:r>
          </w:p>
        </w:tc>
      </w:tr>
    </w:tbl>
    <w:p>
      <w:pPr>
        <w:spacing w:after="180" w:before="60"/>
      </w:pPr>
      <w:r>
        <w:rPr>
          <w:i/>
          <w:iCs/>
          <w:color w:val="595959"/>
          <w:sz w:val="17"/>
          <w:szCs w:val="17"/>
        </w:rPr>
        <w:t xml:space="preserve">Coastwide 2025-26: 308,774 digger trips in the workbooks against 321,705 corrected, and 3.77 million clams against 3.85 million, before wastage. Coastwide 2024-25: 312,716 against 324,665, and 3.89 against 3.97 million clams.</w:t>
      </w:r>
    </w:p>
    <w:p>
      <w:pPr>
        <w:spacing w:after="120" w:before="0" w:line="276"/>
      </w:pPr>
      <w:r>
        <w:rPr>
          <w:sz w:val="21"/>
          <w:szCs w:val="21"/>
        </w:rPr>
        <w:t xml:space="preserve">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pPr>
        <w:spacing w:after="120" w:before="0" w:line="276"/>
      </w:pPr>
      <w:r>
        <w:rPr>
          <w:b/>
          <w:bCs/>
          <w:sz w:val="21"/>
          <w:szCs w:val="21"/>
        </w:rPr>
        <w:t xml:space="preserve">Where the remaining effort should go. </w:t>
      </w:r>
      <w:r>
        <w:rPr>
          <w:sz w:val="21"/>
          <w:szCs w:val="21"/>
        </w:rPr>
        <w:t xml:space="preserve">Three things, in order. Locate the current Long Beach, Copalis and Mocrocks expansion tables and recover the 2012 to 2021 egress surveys, because the correction factor is the largest term in the effort budget and the only one that a larger survey record would shrink. Replace the hand-typed CPUE on estimated beach-days with the donor's measured CPUE, because a measured quantity with a known error beats a typed one with none. And run a paired-observer beach count on a handful of dig days, because step 1 is the one term in the budget with no estimate at all and it sits underneath everything else.</w:t>
      </w:r>
    </w:p>
    <w:p>
      <w:pPr>
        <w:pStyle w:val="Heading1"/>
        <w:spacing w:after="140" w:before="280"/>
      </w:pPr>
      <w:r>
        <w:t xml:space="preserve">11. How many days per tide series should be sampled</w:t>
      </w:r>
    </w:p>
    <w:p>
      <w:pPr>
        <w:spacing w:after="120" w:before="0" w:line="276"/>
      </w:pPr>
      <w:r>
        <w:rPr>
          <w:sz w:val="21"/>
          <w:szCs w:val="21"/>
        </w:rPr>
        <w:t xml:space="preserve">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pPr>
        <w:pStyle w:val="Heading2"/>
        <w:spacing w:after="100" w:before="200"/>
      </w:pPr>
      <w:r>
        <w:t xml:space="preserve">11.1 The standard used</w:t>
      </w:r>
    </w:p>
    <w:p>
      <w:pPr>
        <w:spacing w:after="120" w:before="0" w:line="276"/>
      </w:pPr>
      <w:r>
        <w:rPr>
          <w:sz w:val="21"/>
          <w:szCs w:val="21"/>
        </w:rPr>
        <w:t xml:space="preserve">There is no WDFW precision standard for this fishery, so two external ones are adopted, at two different scales.</w:t>
      </w:r>
    </w:p>
    <w:p>
      <w:pPr>
        <w:pStyle w:val="ListParagraph"/>
        <w:numPr>
          <w:ilvl w:val="0"/>
          <w:numId w:val="1"/>
        </w:numPr>
        <w:spacing w:after="60" w:line="276"/>
      </w:pPr>
      <w:r>
        <w:rPr>
          <w:b/>
          <w:bCs/>
          <w:sz w:val="21"/>
          <w:szCs w:val="21"/>
        </w:rPr>
        <w:t xml:space="preserve">Design target, CV at or below 0.20. </w:t>
      </w:r>
      <w:r>
        <w:rPr>
          <w:sz w:val="21"/>
          <w:szCs w:val="21"/>
        </w:rPr>
        <w:t xml:space="preserve">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pPr>
        <w:pStyle w:val="ListParagraph"/>
        <w:numPr>
          <w:ilvl w:val="0"/>
          <w:numId w:val="1"/>
        </w:numPr>
        <w:spacing w:after="60" w:line="276"/>
      </w:pPr>
      <w:r>
        <w:rPr>
          <w:b/>
          <w:bCs/>
          <w:sz w:val="21"/>
          <w:szCs w:val="21"/>
        </w:rPr>
        <w:t xml:space="preserve">Publication threshold, percent standard error at or below 30 (that is, CV at or below 0.30). </w:t>
      </w:r>
      <w:r>
        <w:rPr>
          <w:sz w:val="21"/>
          <w:szCs w:val="21"/>
        </w:rP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pPr>
        <w:spacing w:after="120" w:before="0" w:line="276"/>
      </w:pPr>
      <w:r>
        <w:rPr>
          <w:b/>
          <w:bCs/>
          <w:sz w:val="21"/>
          <w:szCs w:val="21"/>
        </w:rPr>
        <w:t xml:space="preserve">A citation correction. </w:t>
      </w:r>
      <w:r>
        <w:rPr>
          <w:sz w:val="21"/>
          <w:szCs w:val="21"/>
        </w:rPr>
        <w:t xml:space="preserve">The companion sampling-design workbook attributes the CV of 0.20 convention to Bayley et al. (1991) and cites McCormick et al. (2017) at North American Journal of Fisheries Management 37:1074-1084. Neither could be confirmed. The relevant paper is McCormick, J.L., and K.A. Meyer, 2017, Sample Size Estimation for On-Site Creel Surveys, North American Journal of Fisheries Management 37(5):970-980, and it attributes the CV of 0.20 target to Lester et al. (1991), not Bayley et al. The workbook should be corrected.</w:t>
      </w:r>
    </w:p>
    <w:p>
      <w:pPr>
        <w:spacing w:after="120" w:before="0" w:line="276"/>
      </w:pPr>
      <w:r>
        <w:rPr>
          <w:sz w:val="21"/>
          <w:szCs w:val="21"/>
        </w:rPr>
        <w:t xml:space="preserve">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pPr>
        <w:pStyle w:val="Heading2"/>
        <w:spacing w:after="100" w:before="200"/>
      </w:pPr>
      <w:r>
        <w:t xml:space="preserve">11.2 The answer</w:t>
      </w:r>
    </w:p>
    <w:p>
      <w:pPr>
        <w:spacing w:after="120" w:before="0" w:line="276"/>
      </w:pPr>
      <w:r>
        <w:rPr>
          <w:b/>
          <w:bCs/>
          <w:sz w:val="21"/>
          <w:szCs w:val="21"/>
        </w:rPr>
        <w:t xml:space="preserve">For the in-season tide-series harvest estimate to meet a coefficient of variation of 0.20: count two of a four- or five-day series, and three of a six- or seven-day series. </w:t>
      </w:r>
      <w:r>
        <w:rPr>
          <w:sz w:val="21"/>
          <w:szCs w:val="21"/>
        </w:rPr>
        <w:t xml:space="preserve">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pPr>
        <w:spacing w:after="120" w:before="60" w:line="276"/>
      </w:pPr>
      <w:r>
        <w:rPr>
          <w:sz w:val="21"/>
          <w:szCs w:val="21"/>
        </w:rPr>
        <w:t xml:space="preserve">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pPr>
        <w:keepNext/>
        <w:spacing w:after="40" w:before="120"/>
        <w:jc w:val="center"/>
      </w:pPr>
      <w:r>
        <w:drawing>
          <wp:inline distT="0" distB="0" distL="0" distR="0">
            <wp:extent cx="59436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114675"/>
                    </a:xfrm>
                    <a:prstGeom prst="rect">
                      <a:avLst/>
                    </a:prstGeom>
                  </pic:spPr>
                </pic:pic>
              </a:graphicData>
            </a:graphic>
          </wp:inline>
        </w:drawing>
      </w:r>
    </w:p>
    <w:p>
      <w:pPr>
        <w:spacing w:after="180"/>
        <w:jc w:val="left"/>
      </w:pPr>
      <w:r>
        <w:rPr>
          <w:b/>
          <w:bCs/>
          <w:sz w:val="18"/>
          <w:szCs w:val="18"/>
        </w:rPr>
        <w:t xml:space="preserve">Figure 13. </w:t>
      </w:r>
      <w:r>
        <w:rPr>
          <w:i/>
          <w:iCs/>
          <w:sz w:val="18"/>
          <w:szCs w:val="18"/>
        </w:rPr>
        <w:t xml:space="preserve">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pPr>
        <w:keepNext/>
        <w:spacing w:after="60" w:before="140"/>
      </w:pPr>
      <w:r>
        <w:rPr>
          <w:b/>
          <w:bCs/>
          <w:sz w:val="18"/>
          <w:szCs w:val="18"/>
        </w:rPr>
        <w:t xml:space="preserve">Table 18. </w:t>
      </w:r>
      <w:r>
        <w:rPr>
          <w:i/>
          <w:iCs/>
          <w:sz w:val="18"/>
          <w:szCs w:val="18"/>
        </w:rPr>
        <w:t xml:space="preserve">Harvest coefficient of variation of a tide-series estimate, by beach, series length n, and days counted m.</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600"/>
        <w:gridCol w:w="1100"/>
        <w:gridCol w:w="900"/>
        <w:gridCol w:w="900"/>
        <w:gridCol w:w="900"/>
        <w:gridCol w:w="900"/>
        <w:gridCol w:w="900"/>
        <w:gridCol w:w="900"/>
        <w:gridCol w:w="1260"/>
      </w:tblGrid>
      <w:tr>
        <w:trPr>
          <w:tblHeader/>
        </w:trPr>
        <w:tc>
          <w:tcPr>
            <w:tcW w:type="dxa" w:w="16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Open days n</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1</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2</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3</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4</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5</w:t>
            </w:r>
          </w:p>
        </w:tc>
        <w:tc>
          <w:tcPr>
            <w:tcW w:type="dxa" w:w="9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 = 6</w:t>
            </w:r>
          </w:p>
        </w:tc>
        <w:tc>
          <w:tcPr>
            <w:tcW w:type="dxa" w:w="12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CF floor</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0.223</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0.151</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0.103</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0.238</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0.166</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0.141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0.084</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0.294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0.139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0.057</w:t>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0.056</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0.242</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0.158</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0.068</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0.227</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0.147</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0.064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0.225</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0.079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0.206</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0.165</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0.115</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0.088</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0.074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0.058</w:t>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0.051</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0.277</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0.130</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0.126</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0.272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0.162</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0.126</w:t>
            </w:r>
          </w:p>
        </w:tc>
      </w:tr>
      <w:tr>
        <w:tc>
          <w:tcPr>
            <w:tcW w:type="dxa" w:w="1600"/>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0.222</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0.191</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0.099</w:t>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0.095</w:t>
            </w:r>
          </w:p>
        </w:tc>
      </w:tr>
      <w:tr>
        <w:tc>
          <w:tcPr>
            <w:tcW w:type="dxa" w:w="16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0.305</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0.171</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0.130</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0.099</w:t>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2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0.095</w:t>
            </w:r>
          </w:p>
        </w:tc>
      </w:tr>
    </w:tbl>
    <w:p>
      <w:pPr>
        <w:spacing w:after="180" w:before="60"/>
      </w:pPr>
      <w:r>
        <w:rPr>
          <w:i/>
          <w:iCs/>
          <w:color w:val="595959"/>
          <w:sz w:val="17"/>
          <w:szCs w:val="17"/>
        </w:rPr>
        <w:t xml:space="preserve">Values at or below 0.20 meet the design target. Every value at m = 1 fails it at Long Beach, and Copalis fails it at m = 1 for either series length. The last column is the irreducible correction-factor floor from Table 16.</w:t>
      </w:r>
    </w:p>
    <w:p>
      <w:pPr>
        <w:pStyle w:val="Heading2"/>
        <w:spacing w:after="100" w:before="200"/>
      </w:pPr>
      <w:r>
        <w:t xml:space="preserve">11.3 Which days to count</w:t>
      </w:r>
    </w:p>
    <w:p>
      <w:pPr>
        <w:spacing w:after="120" w:before="0" w:line="276"/>
      </w:pPr>
      <w:r>
        <w:rPr>
          <w:sz w:val="21"/>
          <w:szCs w:val="21"/>
        </w:rPr>
        <w:t xml:space="preserve">The largest-effort days. Selecting the m largest days of a tide series beats an evenly spread selection by 4 to 11 coefficient-of-variation points at every series length tested, and beats a random selection at every length but one. The bias penalty for doing so is small, 1 to 6 percent, and no worse than the penalty of the spread rule. This is what the program already does implicitly, by staffing the opening weekend and the biggest tides, and it is correct.</w:t>
      </w:r>
    </w:p>
    <w:p>
      <w:pPr>
        <w:keepNext/>
        <w:spacing w:after="60" w:before="140"/>
      </w:pPr>
      <w:r>
        <w:rPr>
          <w:b/>
          <w:bCs/>
          <w:sz w:val="18"/>
          <w:szCs w:val="18"/>
        </w:rPr>
        <w:t xml:space="preserve">Table 19. </w:t>
      </w:r>
      <w:r>
        <w:rPr>
          <w:i/>
          <w:iCs/>
          <w:sz w:val="18"/>
          <w:szCs w:val="18"/>
        </w:rPr>
        <w:t xml:space="preserve">Harvest coefficient of variation of a tide-series estimate under four day-selection rules.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500"/>
        <w:gridCol w:w="700"/>
        <w:gridCol w:w="700"/>
        <w:gridCol w:w="1500"/>
        <w:gridCol w:w="1400"/>
        <w:gridCol w:w="1100"/>
        <w:gridCol w:w="1300"/>
        <w:gridCol w:w="1160"/>
      </w:tblGrid>
      <w:tr>
        <w:trPr>
          <w:tblHeader/>
        </w:trPr>
        <w:tc>
          <w:tcPr>
            <w:tcW w:type="dxa" w:w="1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n</w:t>
            </w:r>
          </w:p>
        </w:tc>
        <w:tc>
          <w:tcPr>
            <w:tcW w:type="dxa" w:w="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m</w:t>
            </w:r>
          </w:p>
        </w:tc>
        <w:tc>
          <w:tcPr>
            <w:tcW w:type="dxa" w:w="15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Largest-effort days</w:t>
            </w:r>
          </w:p>
        </w:tc>
        <w:tc>
          <w:tcPr>
            <w:tcW w:type="dxa" w:w="14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Peak plus spread</w:t>
            </w:r>
          </w:p>
        </w:tc>
        <w:tc>
          <w:tcPr>
            <w:tcW w:type="dxa" w:w="1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Random</w:t>
            </w:r>
          </w:p>
        </w:tc>
        <w:tc>
          <w:tcPr>
            <w:tcW w:type="dxa" w:w="13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Evenly spread</w:t>
            </w:r>
          </w:p>
        </w:tc>
        <w:tc>
          <w:tcPr>
            <w:tcW w:type="dxa" w:w="11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Relative bias, largest-effort rule</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0.174</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0.217</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0.238</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0.259</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+1.3%</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0.126</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0.179</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0.180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0.200</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+1.4%</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0.246</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0.300</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0.261</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0.317</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+5.9%</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0.175</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0.281</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0.223</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0.281</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+4.4%</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0.205</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0.207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0.261</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+2.4%</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0.114</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0.163</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0.158</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0.216</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+1.1%</w:t>
            </w:r>
          </w:p>
        </w:tc>
      </w:tr>
      <w:tr>
        <w:tc>
          <w:tcPr>
            <w:tcW w:type="dxa" w:w="1500"/>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2</w:t>
            </w:r>
          </w:p>
        </w:tc>
        <w:tc>
          <w:tcPr>
            <w:tcW w:type="dxa" w:w="15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c>
          <w:tcPr>
            <w:tcW w:type="dxa" w:w="14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0.197</w:t>
            </w:r>
          </w:p>
        </w:tc>
        <w:tc>
          <w:tcPr>
            <w:tcW w:type="dxa" w:w="1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0.247</w:t>
            </w:r>
          </w:p>
        </w:tc>
        <w:tc>
          <w:tcPr>
            <w:tcW w:type="dxa" w:w="13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0.274</w:t>
            </w:r>
          </w:p>
        </w:tc>
        <w:tc>
          <w:tcPr>
            <w:tcW w:type="dxa" w:w="11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-0.5%</w:t>
            </w:r>
          </w:p>
        </w:tc>
      </w:tr>
      <w:tr>
        <w:tc>
          <w:tcPr>
            <w:tcW w:type="dxa" w:w="1500"/>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6</w:t>
            </w:r>
          </w:p>
        </w:tc>
        <w:tc>
          <w:tcPr>
            <w:tcW w:type="dxa" w:w="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3</w:t>
            </w:r>
          </w:p>
        </w:tc>
        <w:tc>
          <w:tcPr>
            <w:tcW w:type="dxa" w:w="15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0.116</w:t>
            </w:r>
          </w:p>
        </w:tc>
        <w:tc>
          <w:tcPr>
            <w:tcW w:type="dxa" w:w="14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0.171</w:t>
            </w:r>
          </w:p>
        </w:tc>
        <w:tc>
          <w:tcPr>
            <w:tcW w:type="dxa" w:w="1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0.220</w:t>
            </w:r>
          </w:p>
        </w:tc>
        <w:tc>
          <w:tcPr>
            <w:tcW w:type="dxa" w:w="13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0.184</w:t>
            </w:r>
          </w:p>
        </w:tc>
        <w:tc>
          <w:tcPr>
            <w:tcW w:type="dxa" w:w="11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+0.3%</w:t>
            </w:r>
          </w:p>
        </w:tc>
      </w:tr>
    </w:tbl>
    <w:p>
      <w:pPr>
        <w:spacing w:after="180" w:before="60"/>
      </w:pPr>
      <w:r>
        <w:rPr>
          <w:i/>
          <w:iCs/>
          <w:color w:val="595959"/>
          <w:sz w:val="17"/>
          <w:szCs w:val="17"/>
        </w:rPr>
        <w:t xml:space="preserve">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pPr>
        <w:pStyle w:val="Heading2"/>
        <w:spacing w:after="100" w:before="200"/>
      </w:pPr>
      <w:r>
        <w:t xml:space="preserve">11.4 The floor that sampling cannot cross</w:t>
      </w:r>
    </w:p>
    <w:p>
      <w:pPr>
        <w:spacing w:after="120" w:before="0" w:line="276"/>
      </w:pPr>
      <w:r>
        <w:rPr>
          <w:sz w:val="21"/>
          <w:szCs w:val="21"/>
        </w:rPr>
        <w:t xml:space="preserve">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pPr>
        <w:spacing w:after="120" w:before="0" w:line="276"/>
      </w:pPr>
      <w:r>
        <w:rPr>
          <w:sz w:val="21"/>
          <w:szCs w:val="21"/>
        </w:rPr>
        <w:t xml:space="preserve">At the season scale the same floor sets a ceiling on how much of a season may be imputed. Figure 14 traces the season harvest coefficient of variation as a function of u, the share of season harvest that is imputed.</w:t>
      </w:r>
    </w:p>
    <w:p>
      <w:pPr>
        <w:keepNext/>
        <w:spacing w:after="40" w:before="1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971800"/>
                    </a:xfrm>
                    <a:prstGeom prst="rect">
                      <a:avLst/>
                    </a:prstGeom>
                  </pic:spPr>
                </pic:pic>
              </a:graphicData>
            </a:graphic>
          </wp:inline>
        </w:drawing>
      </w:r>
    </w:p>
    <w:p>
      <w:pPr>
        <w:spacing w:after="180"/>
        <w:jc w:val="left"/>
      </w:pPr>
      <w:r>
        <w:rPr>
          <w:b/>
          <w:bCs/>
          <w:sz w:val="18"/>
          <w:szCs w:val="18"/>
        </w:rPr>
        <w:t xml:space="preserve">Figure 14. </w:t>
      </w:r>
      <w:r>
        <w:rPr>
          <w:i/>
          <w:iCs/>
          <w:sz w:val="18"/>
          <w:szCs w:val="18"/>
        </w:rPr>
        <w:t xml:space="preserve">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pPr>
        <w:keepNext/>
        <w:spacing w:after="60" w:before="140"/>
      </w:pPr>
      <w:r>
        <w:rPr>
          <w:b/>
          <w:bCs/>
          <w:sz w:val="18"/>
          <w:szCs w:val="18"/>
        </w:rPr>
        <w:t xml:space="preserve">Table 20. </w:t>
      </w:r>
      <w:r>
        <w:rPr>
          <w:i/>
          <w:iCs/>
          <w:sz w:val="18"/>
          <w:szCs w:val="18"/>
        </w:rPr>
        <w:t xml:space="preserve">Maximum share of season harvest that may be imputed while still meeting each season-level CV target.</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2100"/>
        <w:gridCol w:w="1800"/>
        <w:gridCol w:w="1800"/>
        <w:gridCol w:w="1800"/>
        <w:gridCol w:w="1860"/>
      </w:tblGrid>
      <w:tr>
        <w:trPr>
          <w:tblHeader/>
        </w:trPr>
        <w:tc>
          <w:tcPr>
            <w:tcW w:type="dxa" w:w="21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0.10</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0.15</w:t>
            </w:r>
          </w:p>
        </w:tc>
        <w:tc>
          <w:tcPr>
            <w:tcW w:type="dxa" w:w="18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0.20</w:t>
            </w:r>
          </w:p>
        </w:tc>
        <w:tc>
          <w:tcPr>
            <w:tcW w:type="dxa" w:w="18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CV at or below 0.30</w:t>
            </w:r>
          </w:p>
        </w:tc>
      </w:tr>
      <w:tr>
        <w:tc>
          <w:tcPr>
            <w:tcW w:type="dxa" w:w="2100"/>
            <w:tcMar>
              <w:top w:type="dxa" w:w="50"/>
              <w:left w:type="dxa" w:w="80"/>
              <w:bottom w:type="dxa" w:w="50"/>
              <w:right w:type="dxa" w:w="80"/>
            </w:tcMar>
          </w:tcPr>
          <w:p>
            <w:pPr>
              <w:spacing w:after="0" w:before="0" w:line="240"/>
            </w:pPr>
            <w:r>
              <w:rPr>
                <w:b/>
                <w:bCs/>
                <w:i w:val="false"/>
                <w:iCs w:val="false"/>
                <w:sz w:val="17"/>
                <w:szCs w:val="17"/>
              </w:rPr>
              <w:t xml:space="preserve">Long Beach</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51%</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89%</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r>
        <w:tc>
          <w:tcPr>
            <w:tcW w:type="dxa" w:w="21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Twin Harbors</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53%</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90%</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r>
        <w:tc>
          <w:tcPr>
            <w:tcW w:type="dxa" w:w="2100"/>
            <w:tcMar>
              <w:top w:type="dxa" w:w="50"/>
              <w:left w:type="dxa" w:w="80"/>
              <w:bottom w:type="dxa" w:w="50"/>
              <w:right w:type="dxa" w:w="80"/>
            </w:tcMar>
          </w:tcPr>
          <w:p>
            <w:pPr>
              <w:spacing w:after="0" w:before="0" w:line="240"/>
            </w:pPr>
            <w:r>
              <w:rPr>
                <w:b/>
                <w:bCs/>
                <w:i w:val="false"/>
                <w:iCs w:val="false"/>
                <w:sz w:val="17"/>
                <w:szCs w:val="17"/>
              </w:rPr>
              <w:t xml:space="preserve">Copalis</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infeasible</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51%</w:t>
            </w:r>
          </w:p>
        </w:tc>
        <w:tc>
          <w:tcPr>
            <w:tcW w:type="dxa" w:w="180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r>
        <w:tc>
          <w:tcPr>
            <w:tcW w:type="dxa" w:w="2100"/>
            <w:shd w:fill="F5F7F9" w:color="auto" w:val="clear"/>
            <w:tcMar>
              <w:top w:type="dxa" w:w="50"/>
              <w:left w:type="dxa" w:w="80"/>
              <w:bottom w:type="dxa" w:w="50"/>
              <w:right w:type="dxa" w:w="80"/>
            </w:tcMar>
          </w:tcPr>
          <w:p>
            <w:pPr>
              <w:spacing w:after="0" w:before="0" w:line="240"/>
            </w:pPr>
            <w:r>
              <w:rPr>
                <w:b/>
                <w:bCs/>
                <w:i w:val="false"/>
                <w:iCs w:val="false"/>
                <w:sz w:val="17"/>
                <w:szCs w:val="17"/>
              </w:rPr>
              <w:t xml:space="preserve">Mocrocks</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17%</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74%</w:t>
            </w:r>
          </w:p>
        </w:tc>
        <w:tc>
          <w:tcPr>
            <w:tcW w:type="dxa" w:w="180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c>
          <w:tcPr>
            <w:tcW w:type="dxa" w:w="1860"/>
            <w:shd w:fill="F5F7F9" w:color="auto" w:val="clear"/>
            <w:tcMar>
              <w:top w:type="dxa" w:w="50"/>
              <w:left w:type="dxa" w:w="80"/>
              <w:bottom w:type="dxa" w:w="50"/>
              <w:right w:type="dxa" w:w="80"/>
            </w:tcMar>
          </w:tcPr>
          <w:p>
            <w:pPr>
              <w:spacing w:after="0" w:before="0" w:line="240"/>
              <w:jc w:val="center"/>
            </w:pPr>
            <w:r>
              <w:rPr>
                <w:b w:val="false"/>
                <w:bCs w:val="false"/>
                <w:i w:val="false"/>
                <w:iCs w:val="false"/>
                <w:sz w:val="17"/>
                <w:szCs w:val="17"/>
              </w:rPr>
              <w:t xml:space="preserve">100%</w:t>
            </w:r>
          </w:p>
        </w:tc>
      </w:tr>
    </w:tbl>
    <w:p>
      <w:pPr>
        <w:spacing w:after="180" w:before="60"/>
      </w:pPr>
      <w:r>
        <w:rPr>
          <w:i/>
          <w:iCs/>
          <w:color w:val="595959"/>
          <w:sz w:val="17"/>
          <w:szCs w:val="17"/>
        </w:rPr>
        <w:t xml:space="preserve">Current imputed share of season harvest, 2025-26: Long Beach 0.85, Twin Harbors 0.36, Copalis 0.00, Mocrocks 0.00. Every beach currently meets the 0.20 season target. Long Beach exceeds the share compatible with a 0.15 target only marginally, at 0.85 against a limit of 0.89.</w:t>
      </w:r>
    </w:p>
    <w:p>
      <w:pPr>
        <w:spacing w:after="120" w:before="0" w:line="276"/>
      </w:pPr>
      <w:r>
        <w:rPr>
          <w:sz w:val="21"/>
          <w:szCs w:val="21"/>
        </w:rPr>
        <w:t xml:space="preserve">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pPr>
        <w:pStyle w:val="Heading2"/>
        <w:spacing w:after="100" w:before="200"/>
      </w:pPr>
      <w:r>
        <w:t xml:space="preserve">11.5 The crew-day arithmetic</w:t>
      </w:r>
    </w:p>
    <w:p>
      <w:pPr>
        <w:spacing w:after="120" w:before="0" w:line="276"/>
      </w:pPr>
      <w:r>
        <w:rPr>
          <w:sz w:val="21"/>
          <w:szCs w:val="21"/>
        </w:rPr>
        <w:t xml:space="preserve">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pPr>
        <w:keepNext/>
        <w:spacing w:after="60" w:before="140"/>
      </w:pPr>
      <w:r>
        <w:rPr>
          <w:b/>
          <w:bCs/>
          <w:sz w:val="18"/>
          <w:szCs w:val="18"/>
        </w:rPr>
        <w:t xml:space="preserve">Table 21. </w:t>
      </w:r>
      <w:r>
        <w:rPr>
          <w:i/>
          <w:iCs/>
          <w:sz w:val="18"/>
          <w:szCs w:val="18"/>
        </w:rPr>
        <w:t xml:space="preserve">Crew-day arithmetic for a 45 percent sampling rate, 2025-26 actuals.</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1355"/>
        <w:gridCol w:w="903"/>
        <w:gridCol w:w="903"/>
        <w:gridCol w:w="813"/>
        <w:gridCol w:w="1175"/>
        <w:gridCol w:w="949"/>
        <w:gridCol w:w="1175"/>
        <w:gridCol w:w="903"/>
        <w:gridCol w:w="1184"/>
      </w:tblGrid>
      <w:tr>
        <w:trPr>
          <w:tblHeader/>
        </w:trPr>
        <w:tc>
          <w:tcPr>
            <w:tcW w:type="dxa" w:w="1355"/>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Beach</w:t>
            </w:r>
          </w:p>
        </w:tc>
        <w:tc>
          <w:tcPr>
            <w:tcW w:type="dxa" w:w="90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Open days</w:t>
            </w:r>
          </w:p>
        </w:tc>
        <w:tc>
          <w:tcPr>
            <w:tcW w:type="dxa" w:w="90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Counted now</w:t>
            </w:r>
          </w:p>
        </w:tc>
        <w:tc>
          <w:tcPr>
            <w:tcW w:type="dxa" w:w="81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Percent now</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Crew-day units now</w:t>
            </w:r>
          </w:p>
        </w:tc>
        <w:tc>
          <w:tcPr>
            <w:tcW w:type="dxa" w:w="949"/>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Counted at 45%</w:t>
            </w:r>
          </w:p>
        </w:tc>
        <w:tc>
          <w:tcPr>
            <w:tcW w:type="dxa" w:w="1175"/>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Crew-day units at 45%</w:t>
            </w:r>
          </w:p>
        </w:tc>
        <w:tc>
          <w:tcPr>
            <w:tcW w:type="dxa" w:w="903"/>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Series CV now</w:t>
            </w:r>
          </w:p>
        </w:tc>
        <w:tc>
          <w:tcPr>
            <w:tcW w:type="dxa" w:w="1184"/>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Series CV at 45%</w:t>
            </w:r>
          </w:p>
        </w:tc>
      </w:tr>
      <w:tr>
        <w:tc>
          <w:tcPr>
            <w:tcW w:type="dxa" w:w="1355"/>
            <w:tcMar>
              <w:top w:type="dxa" w:w="50"/>
              <w:left w:type="dxa" w:w="80"/>
              <w:bottom w:type="dxa" w:w="50"/>
              <w:right w:type="dxa" w:w="80"/>
            </w:tcMar>
          </w:tcPr>
          <w:p>
            <w:pPr>
              <w:spacing w:after="0" w:before="0" w:line="240"/>
            </w:pPr>
            <w:r>
              <w:rPr>
                <w:b/>
                <w:bCs/>
                <w:i w:val="false"/>
                <w:iCs w:val="false"/>
                <w:sz w:val="16"/>
                <w:szCs w:val="16"/>
              </w:rPr>
              <w:t xml:space="preserve">Copalis</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813"/>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51</w:t>
            </w:r>
          </w:p>
        </w:tc>
        <w:tc>
          <w:tcPr>
            <w:tcW w:type="dxa" w:w="949"/>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0.129</w:t>
            </w:r>
          </w:p>
        </w:tc>
        <w:tc>
          <w:tcPr>
            <w:tcW w:type="dxa" w:w="11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0.192</w:t>
            </w:r>
          </w:p>
        </w:tc>
      </w:tr>
      <w:tr>
        <w:tc>
          <w:tcPr>
            <w:tcW w:type="dxa" w:w="1355"/>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Mocrocks</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81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100%</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94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23</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0.099</w:t>
            </w:r>
          </w:p>
        </w:tc>
        <w:tc>
          <w:tcPr>
            <w:tcW w:type="dxa" w:w="11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0.171</w:t>
            </w:r>
          </w:p>
        </w:tc>
      </w:tr>
      <w:tr>
        <w:tc>
          <w:tcPr>
            <w:tcW w:type="dxa" w:w="1355"/>
            <w:tcMar>
              <w:top w:type="dxa" w:w="50"/>
              <w:left w:type="dxa" w:w="80"/>
              <w:bottom w:type="dxa" w:w="50"/>
              <w:right w:type="dxa" w:w="80"/>
            </w:tcMar>
          </w:tcPr>
          <w:p>
            <w:pPr>
              <w:spacing w:after="0" w:before="0" w:line="240"/>
            </w:pPr>
            <w:r>
              <w:rPr>
                <w:b/>
                <w:bCs/>
                <w:i w:val="false"/>
                <w:iCs w:val="false"/>
                <w:sz w:val="16"/>
                <w:szCs w:val="16"/>
              </w:rPr>
              <w:t xml:space="preserve">Twin Harbors</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813"/>
            <w:tcMar>
              <w:top w:type="dxa" w:w="50"/>
              <w:left w:type="dxa" w:w="80"/>
              <w:bottom w:type="dxa" w:w="50"/>
              <w:right w:type="dxa" w:w="80"/>
            </w:tcMar>
          </w:tcPr>
          <w:p>
            <w:pPr>
              <w:spacing w:after="0" w:before="0" w:line="240"/>
              <w:jc w:val="center"/>
            </w:pPr>
            <w:r>
              <w:rPr>
                <w:b w:val="false"/>
                <w:bCs w:val="false"/>
                <w:i w:val="false"/>
                <w:iCs w:val="false"/>
                <w:sz w:val="16"/>
                <w:szCs w:val="16"/>
              </w:rPr>
              <w:t xml:space="preserve">50%</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52</w:t>
            </w:r>
          </w:p>
        </w:tc>
        <w:tc>
          <w:tcPr>
            <w:tcW w:type="dxa" w:w="949"/>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c>
          <w:tcPr>
            <w:tcW w:type="dxa" w:w="11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0.164</w:t>
            </w:r>
          </w:p>
        </w:tc>
      </w:tr>
      <w:tr>
        <w:tc>
          <w:tcPr>
            <w:tcW w:type="dxa" w:w="1355"/>
            <w:shd w:fill="F5F7F9" w:color="auto" w:val="clear"/>
            <w:tcMar>
              <w:top w:type="dxa" w:w="50"/>
              <w:left w:type="dxa" w:w="80"/>
              <w:bottom w:type="dxa" w:w="50"/>
              <w:right w:type="dxa" w:w="80"/>
            </w:tcMar>
          </w:tcPr>
          <w:p>
            <w:pPr>
              <w:spacing w:after="0" w:before="0" w:line="240"/>
            </w:pPr>
            <w:r>
              <w:rPr>
                <w:b/>
                <w:bCs/>
                <w:i w:val="false"/>
                <w:iCs w:val="false"/>
                <w:sz w:val="16"/>
                <w:szCs w:val="16"/>
              </w:rPr>
              <w:t xml:space="preserve">Long Beach</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103</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w:t>
            </w:r>
          </w:p>
        </w:tc>
        <w:tc>
          <w:tcPr>
            <w:tcW w:type="dxa" w:w="81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48</w:t>
            </w:r>
          </w:p>
        </w:tc>
        <w:tc>
          <w:tcPr>
            <w:tcW w:type="dxa" w:w="949"/>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46</w:t>
            </w:r>
          </w:p>
        </w:tc>
        <w:tc>
          <w:tcPr>
            <w:tcW w:type="dxa" w:w="1175"/>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92</w:t>
            </w:r>
          </w:p>
        </w:tc>
        <w:tc>
          <w:tcPr>
            <w:tcW w:type="dxa" w:w="903"/>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0.294</w:t>
            </w:r>
          </w:p>
        </w:tc>
        <w:tc>
          <w:tcPr>
            <w:tcW w:type="dxa" w:w="1184"/>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0.175</w:t>
            </w:r>
          </w:p>
        </w:tc>
      </w:tr>
      <w:tr>
        <w:tc>
          <w:tcPr>
            <w:tcW w:type="dxa" w:w="1355"/>
            <w:tcMar>
              <w:top w:type="dxa" w:w="50"/>
              <w:left w:type="dxa" w:w="80"/>
              <w:bottom w:type="dxa" w:w="50"/>
              <w:right w:type="dxa" w:w="80"/>
            </w:tcMar>
          </w:tcPr>
          <w:p>
            <w:pPr>
              <w:spacing w:after="0" w:before="0" w:line="240"/>
            </w:pPr>
            <w:r>
              <w:rPr>
                <w:b/>
                <w:bCs/>
                <w:i w:val="false"/>
                <w:iCs w:val="false"/>
                <w:sz w:val="16"/>
                <w:szCs w:val="16"/>
              </w:rPr>
              <w:t xml:space="preserve">TOTAL</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81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203</w:t>
            </w:r>
          </w:p>
        </w:tc>
        <w:tc>
          <w:tcPr>
            <w:tcW w:type="dxa" w:w="949"/>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175"/>
            <w:tcMar>
              <w:top w:type="dxa" w:w="50"/>
              <w:left w:type="dxa" w:w="80"/>
              <w:bottom w:type="dxa" w:w="50"/>
              <w:right w:type="dxa" w:w="80"/>
            </w:tcMar>
          </w:tcPr>
          <w:p>
            <w:pPr>
              <w:spacing w:after="0" w:before="0" w:line="240"/>
              <w:jc w:val="center"/>
            </w:pPr>
            <w:r>
              <w:rPr>
                <w:b w:val="false"/>
                <w:bCs w:val="false"/>
                <w:i w:val="false"/>
                <w:iCs w:val="false"/>
                <w:sz w:val="16"/>
                <w:szCs w:val="16"/>
              </w:rPr>
              <w:t xml:space="preserve">184</w:t>
            </w:r>
          </w:p>
        </w:tc>
        <w:tc>
          <w:tcPr>
            <w:tcW w:type="dxa" w:w="903"/>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c>
          <w:tcPr>
            <w:tcW w:type="dxa" w:w="1184"/>
            <w:tcMar>
              <w:top w:type="dxa" w:w="50"/>
              <w:left w:type="dxa" w:w="80"/>
              <w:bottom w:type="dxa" w:w="50"/>
              <w:right w:type="dxa" w:w="80"/>
            </w:tcMar>
          </w:tcPr>
          <w:p>
            <w:pPr>
              <w:spacing w:after="0" w:before="0" w:line="240"/>
              <w:jc w:val="center"/>
            </w:pPr>
            <w:r>
              <w:rPr>
                <w:b w:val="false"/>
                <w:bCs w:val="false"/>
                <w:i w:val="false"/>
                <w:iCs w:val="false"/>
                <w:sz w:val="16"/>
                <w:szCs w:val="16"/>
              </w:rPr>
              <w:t xml:space="preserve"/>
            </w:r>
          </w:p>
        </w:tc>
      </w:tr>
    </w:tbl>
    <w:p>
      <w:pPr>
        <w:spacing w:after="180" w:before="60"/>
      </w:pPr>
      <w:r>
        <w:rPr>
          <w:i/>
          <w:iCs/>
          <w:color w:val="595959"/>
          <w:sz w:val="17"/>
          <w:szCs w:val="17"/>
        </w:rPr>
        <w:t xml:space="preserve">Net change: minus 19 crew-day units. The reallocation pays for itself. Long Beach at 45 percent assumes every counted day is a full seven-segment walk, which retires the half-beach section ratio and its 0.281 log-error standard deviation.</w:t>
      </w:r>
    </w:p>
    <w:p>
      <w:pPr>
        <w:spacing w:after="120" w:before="0" w:line="276"/>
      </w:pPr>
      <w:r>
        <w:rPr>
          <w:sz w:val="21"/>
          <w:szCs w:val="21"/>
        </w:rPr>
        <w:t xml:space="preserve">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pPr>
        <w:pStyle w:val="Heading2"/>
        <w:spacing w:after="100" w:before="200"/>
      </w:pPr>
      <w:r>
        <w:t xml:space="preserve">11.6 What this recommendation does not say</w:t>
      </w:r>
    </w:p>
    <w:p>
      <w:pPr>
        <w:pStyle w:val="ListParagraph"/>
        <w:numPr>
          <w:ilvl w:val="0"/>
          <w:numId w:val="1"/>
        </w:numPr>
        <w:spacing w:after="60" w:line="276"/>
      </w:pPr>
      <w:r>
        <w:rPr>
          <w:sz w:val="21"/>
          <w:szCs w:val="21"/>
        </w:rPr>
        <w:t xml:space="preserve">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pPr>
        <w:pStyle w:val="ListParagraph"/>
        <w:numPr>
          <w:ilvl w:val="0"/>
          <w:numId w:val="1"/>
        </w:numPr>
        <w:spacing w:after="60" w:line="276"/>
      </w:pPr>
      <w:r>
        <w:rPr>
          <w:sz w:val="21"/>
          <w:szCs w:val="21"/>
        </w:rPr>
        <w:t xml:space="preserve">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pPr>
        <w:pStyle w:val="ListParagraph"/>
        <w:numPr>
          <w:ilvl w:val="0"/>
          <w:numId w:val="1"/>
        </w:numPr>
        <w:spacing w:after="60" w:line="276"/>
      </w:pPr>
      <w:r>
        <w:rPr>
          <w:sz w:val="21"/>
          <w:szCs w:val="21"/>
        </w:rPr>
        <w:t xml:space="preserve">It does not address wastage, the people-per-car fallback, or the diggers-per-lantern fallback.</w:t>
      </w:r>
    </w:p>
    <w:p>
      <w:pPr>
        <w:pStyle w:val="ListParagraph"/>
        <w:numPr>
          <w:ilvl w:val="0"/>
          <w:numId w:val="1"/>
        </w:numPr>
        <w:spacing w:after="60" w:line="276"/>
      </w:pPr>
      <w:r>
        <w:rPr>
          <w:sz w:val="21"/>
          <w:szCs w:val="21"/>
        </w:rPr>
        <w:t xml:space="preserve">It assumes the correction-factor error measured on the 2012 and 2013 tables applies to the current tables (section 10.3). If the current tables rest on more surveys, the floors in Table 18 are too high and the sampling requirement is less demanding than stated.</w:t>
      </w:r>
    </w:p>
    <w:p>
      <w:pPr>
        <w:pStyle w:val="Heading1"/>
        <w:spacing w:after="140" w:before="280"/>
      </w:pPr>
      <w:r>
        <w:t xml:space="preserve">12. Outstanding uncertainty and recommendations</w:t>
      </w:r>
    </w:p>
    <w:p>
      <w:pPr>
        <w:pStyle w:val="Heading2"/>
        <w:spacing w:after="100" w:before="200"/>
      </w:pPr>
      <w:r>
        <w:t xml:space="preserve">12.1 Uncertainty that is not currently quantified</w:t>
      </w:r>
    </w:p>
    <w:p>
      <w:pPr>
        <w:spacing w:after="120" w:before="0" w:line="276"/>
      </w:pPr>
      <w:r>
        <w:rPr>
          <w:sz w:val="21"/>
          <w:szCs w:val="21"/>
        </w:rPr>
        <w:t xml:space="preserve">The published estimate is a point estimate. Five of the nine steps in section 10 now carry a variance and are propagated in the companion workbook, and a sixth is correctable rather than random. The rest do not. Ordered by how much of the estimate they carry:</w:t>
      </w:r>
    </w:p>
    <w:p>
      <w:pPr>
        <w:pStyle w:val="ListParagraph"/>
        <w:numPr>
          <w:ilvl w:val="0"/>
          <w:numId w:val="1"/>
        </w:numPr>
        <w:spacing w:after="60" w:line="276"/>
      </w:pPr>
      <w:r>
        <w:rPr>
          <w:b/>
          <w:bCs/>
          <w:sz w:val="21"/>
          <w:szCs w:val="21"/>
        </w:rPr>
        <w:t xml:space="preserve">The beach count itself. </w:t>
      </w:r>
      <w:r>
        <w:rPr>
          <w:sz w:val="21"/>
          <w:szCs w:val="21"/>
        </w:rPr>
        <w:t xml:space="preserve">Treated as exact. No beach has ever been counted twice on the same day by independent observers, so no estimate exists. It sits underneath every other term.</w:t>
      </w:r>
    </w:p>
    <w:p>
      <w:pPr>
        <w:pStyle w:val="ListParagraph"/>
        <w:numPr>
          <w:ilvl w:val="0"/>
          <w:numId w:val="1"/>
        </w:numPr>
        <w:spacing w:after="60" w:line="276"/>
      </w:pPr>
      <w:r>
        <w:rPr>
          <w:b/>
          <w:bCs/>
          <w:sz w:val="21"/>
          <w:szCs w:val="21"/>
        </w:rPr>
        <w:t xml:space="preserve">People-per-car and diggers-per-lantern fallbacks. </w:t>
      </w:r>
      <w:r>
        <w:rPr>
          <w:sz w:val="21"/>
          <w:szCs w:val="21"/>
        </w:rPr>
        <w:t xml:space="preserve">These substitute event ratios, or the 2.67 constant, whenever a count lacks a direct head count. The error is untracked.</w:t>
      </w:r>
    </w:p>
    <w:p>
      <w:pPr>
        <w:pStyle w:val="ListParagraph"/>
        <w:numPr>
          <w:ilvl w:val="0"/>
          <w:numId w:val="1"/>
        </w:numPr>
        <w:spacing w:after="60" w:line="276"/>
      </w:pPr>
      <w:r>
        <w:rPr>
          <w:b/>
          <w:bCs/>
          <w:sz w:val="21"/>
          <w:szCs w:val="21"/>
        </w:rPr>
        <w:t xml:space="preserve">Wastage. </w:t>
      </w:r>
      <w:r>
        <w:rPr>
          <w:sz w:val="21"/>
          <w:szCs w:val="21"/>
        </w:rPr>
        <w:t xml:space="preserve">A flat proportion from a subset of feasible surveys, absent on many night and low-effort tides.</w:t>
      </w:r>
    </w:p>
    <w:p>
      <w:pPr>
        <w:pStyle w:val="ListParagraph"/>
        <w:numPr>
          <w:ilvl w:val="0"/>
          <w:numId w:val="1"/>
        </w:numPr>
        <w:spacing w:after="60" w:line="276"/>
      </w:pPr>
      <w:r>
        <w:rPr>
          <w:b/>
          <w:bCs/>
          <w:sz w:val="21"/>
          <w:szCs w:val="21"/>
        </w:rPr>
        <w:t xml:space="preserve">Table vintage and condition assignment. </w:t>
      </w:r>
      <w:r>
        <w:rPr>
          <w:sz w:val="21"/>
          <w:szCs w:val="21"/>
        </w:rPr>
        <w:t xml:space="preserve">The bootstrap of section 10.3 measures between-survey error within one table. It does not measure the error of having chosen the wrong table, which section 6.3 shows can be a 33 percent effect at Long Beach.</w:t>
      </w:r>
    </w:p>
    <w:p>
      <w:pPr>
        <w:spacing w:after="120" w:before="60" w:line="276"/>
      </w:pPr>
      <w:r>
        <w:rPr>
          <w:sz w:val="21"/>
          <w:szCs w:val="21"/>
        </w:rPr>
        <w:t xml:space="preserve">Until these are closed, every interval in the companion workbook, and every coefficient of variation in section 11, should be read as a lower bound.</w:t>
      </w:r>
    </w:p>
    <w:p>
      <w:pPr>
        <w:pStyle w:val="Heading2"/>
        <w:spacing w:after="100" w:before="200"/>
      </w:pPr>
      <w:r>
        <w:t xml:space="preserve">12.2 Open items on the correction-factor tables</w:t>
      </w:r>
    </w:p>
    <w:p>
      <w:pPr>
        <w:pStyle w:val="ListParagraph"/>
        <w:numPr>
          <w:ilvl w:val="0"/>
          <w:numId w:val="1"/>
        </w:numPr>
        <w:spacing w:after="60" w:line="276"/>
      </w:pPr>
      <w:r>
        <w:rPr>
          <w:sz w:val="21"/>
          <w:szCs w:val="21"/>
        </w:rPr>
        <w:t xml:space="preserve">Document the derivation and effective date of each current form table, since the curves carry no provenance note, and confirm whether any separate condition-specific tables are still consulted alongside the single per-beach form table.</w:t>
      </w:r>
    </w:p>
    <w:p>
      <w:pPr>
        <w:pStyle w:val="ListParagraph"/>
        <w:numPr>
          <w:ilvl w:val="0"/>
          <w:numId w:val="1"/>
        </w:numPr>
        <w:spacing w:after="60" w:line="276"/>
      </w:pPr>
      <w:r>
        <w:rPr>
          <w:sz w:val="21"/>
          <w:szCs w:val="21"/>
        </w:rPr>
        <w:t xml:space="preserve">Recover the egress surveys from roughly 2012 to 2021 so the post-2013 refinements at Long Beach, Copalis, and Mocrocks can be independently re-derived, validated, and dated.</w:t>
      </w:r>
    </w:p>
    <w:p>
      <w:pPr>
        <w:pStyle w:val="ListParagraph"/>
        <w:numPr>
          <w:ilvl w:val="0"/>
          <w:numId w:val="1"/>
        </w:numPr>
        <w:spacing w:after="60" w:line="276"/>
      </w:pPr>
      <w:r>
        <w:rPr>
          <w:sz w:val="21"/>
          <w:szCs w:val="21"/>
        </w:rPr>
        <w:t xml:space="preserve">Move the form curves into a proper, versioned lookup table in the database, or an external controlled file, so they are queryable and auditable rather than embedded as form controls.</w:t>
      </w:r>
    </w:p>
    <w:p>
      <w:pPr>
        <w:pStyle w:val="ListParagraph"/>
        <w:numPr>
          <w:ilvl w:val="0"/>
          <w:numId w:val="1"/>
        </w:numPr>
        <w:spacing w:after="60" w:line="276"/>
      </w:pPr>
      <w:r>
        <w:rPr>
          <w:sz w:val="21"/>
          <w:szCs w:val="21"/>
        </w:rPr>
        <w:t xml:space="preserve">Publish a per-bin count of contributing surveys alongside each pooled table, and adopt a single documented convention for the prior-to-start bin.</w:t>
      </w:r>
    </w:p>
    <w:p>
      <w:pPr>
        <w:pStyle w:val="ListParagraph"/>
        <w:numPr>
          <w:ilvl w:val="0"/>
          <w:numId w:val="1"/>
        </w:numPr>
        <w:spacing w:after="60" w:line="276"/>
      </w:pPr>
      <w:r>
        <w:rPr>
          <w:sz w:val="21"/>
          <w:szCs w:val="21"/>
        </w:rPr>
        <w:t xml:space="preserve">Derive daylight expansion tables for Long Beach and Twin Harbors from the four daylight surveys that already exist at each, or document what is actually used on spring morning openers.</w:t>
      </w:r>
    </w:p>
    <w:p>
      <w:pPr>
        <w:pStyle w:val="ListParagraph"/>
        <w:numPr>
          <w:ilvl w:val="0"/>
          <w:numId w:val="1"/>
        </w:numPr>
        <w:spacing w:after="60" w:line="276"/>
      </w:pPr>
      <w:r>
        <w:rPr>
          <w:sz w:val="21"/>
          <w:szCs w:val="21"/>
        </w:rPr>
        <w:t xml:space="preserve">Decide whether the Kalaloch series, which borrows the Mocrocks curve and has no census on most of its beach-days, should be documented as such or retired.</w:t>
      </w:r>
    </w:p>
    <w:p>
      <w:pPr>
        <w:pStyle w:val="Heading2"/>
        <w:spacing w:after="100" w:before="200"/>
      </w:pPr>
      <w:r>
        <w:t xml:space="preserve">12.3 Open items on the data and method</w:t>
      </w:r>
    </w:p>
    <w:p>
      <w:pPr>
        <w:pStyle w:val="ListParagraph"/>
        <w:numPr>
          <w:ilvl w:val="0"/>
          <w:numId w:val="1"/>
        </w:numPr>
        <w:spacing w:after="60" w:line="276"/>
      </w:pPr>
      <w:r>
        <w:rPr>
          <w:sz w:val="21"/>
          <w:szCs w:val="21"/>
        </w:rPr>
        <w:t xml:space="preserve">Add a per-count time field to the count table so replicate counts are distinguishable from duplicates and matchable to the correction-factor reference time.</w:t>
      </w:r>
    </w:p>
    <w:p>
      <w:pPr>
        <w:pStyle w:val="ListParagraph"/>
        <w:numPr>
          <w:ilvl w:val="0"/>
          <w:numId w:val="1"/>
        </w:numPr>
        <w:spacing w:after="60" w:line="276"/>
      </w:pPr>
      <w:r>
        <w:rPr>
          <w:sz w:val="21"/>
          <w:szCs w:val="21"/>
        </w:rPr>
        <w:t xml:space="preserve">Resolve the recomputed CPUE values above the 15-clam bag limit in 2016-17, 2020-21, 2021-22 and 2022-23 before any harvest series is published from those seasons.</w:t>
      </w:r>
    </w:p>
    <w:p>
      <w:pPr>
        <w:pStyle w:val="ListParagraph"/>
        <w:numPr>
          <w:ilvl w:val="0"/>
          <w:numId w:val="1"/>
        </w:numPr>
        <w:spacing w:after="60" w:line="276"/>
      </w:pPr>
      <w:r>
        <w:rPr>
          <w:sz w:val="21"/>
          <w:szCs w:val="21"/>
        </w:rPr>
        <w:t xml:space="preserve">Confirm the people-estimate precedence, that is, whether a recorded lantern count should ever outrank a recorded car count, and rename the people-per-car field in any new collection.</w:t>
      </w:r>
    </w:p>
    <w:p>
      <w:pPr>
        <w:pStyle w:val="ListParagraph"/>
        <w:numPr>
          <w:ilvl w:val="0"/>
          <w:numId w:val="1"/>
        </w:numPr>
        <w:spacing w:after="60" w:line="276"/>
      </w:pPr>
      <w:r>
        <w:rPr>
          <w:sz w:val="21"/>
          <w:szCs w:val="21"/>
        </w:rPr>
        <w:t xml:space="preserve">Decide and document the policy for impossible values and out-of-range correction factors.</w:t>
      </w:r>
    </w:p>
    <w:p>
      <w:pPr>
        <w:pStyle w:val="ListParagraph"/>
        <w:numPr>
          <w:ilvl w:val="0"/>
          <w:numId w:val="1"/>
        </w:numPr>
        <w:spacing w:after="60" w:line="276"/>
      </w:pPr>
      <w:r>
        <w:rPr>
          <w:sz w:val="21"/>
          <w:szCs w:val="21"/>
        </w:rPr>
        <w:t xml:space="preserve">Generate the in-season workbook from the database rather than maintaining it by hand, which removes an entire class of defect (Table 9) at a stroke.</w:t>
      </w:r>
    </w:p>
    <w:p>
      <w:pPr>
        <w:pStyle w:val="ListParagraph"/>
        <w:numPr>
          <w:ilvl w:val="0"/>
          <w:numId w:val="1"/>
        </w:numPr>
        <w:spacing w:after="60" w:line="276"/>
      </w:pPr>
      <w:r>
        <w:rPr>
          <w:sz w:val="21"/>
          <w:szCs w:val="21"/>
        </w:rPr>
        <w:t xml:space="preserve">Resolve the dating conflict on the 30 percent and variable exploitation rates (section 6.4) against a definitive program source.</w:t>
      </w:r>
    </w:p>
    <w:p>
      <w:pPr>
        <w:pStyle w:val="ListParagraph"/>
        <w:numPr>
          <w:ilvl w:val="0"/>
          <w:numId w:val="1"/>
        </w:numPr>
        <w:spacing w:after="60" w:line="276"/>
      </w:pPr>
      <w:r>
        <w:rPr>
          <w:sz w:val="21"/>
          <w:szCs w:val="21"/>
        </w:rPr>
        <w:t xml:space="preserve">Reconcile the companion products' disagreements on the coastwide bias-adjusted effort, on the CPUE-transfer error pool, and on the coverage shares for 2017-18, 2022-23 and 2023-24 (section 10.2).</w:t>
      </w:r>
    </w:p>
    <w:p>
      <w:pPr>
        <w:pStyle w:val="ListParagraph"/>
        <w:numPr>
          <w:ilvl w:val="0"/>
          <w:numId w:val="1"/>
        </w:numPr>
        <w:spacing w:after="60" w:line="276"/>
      </w:pPr>
      <w:r>
        <w:rPr>
          <w:sz w:val="21"/>
          <w:szCs w:val="21"/>
        </w:rPr>
        <w:t xml:space="preserve">Restore the 4 to 14 May 2023 tide series to the 2022-23 workbook and re-derive that season's effort, harvest, wastage and percent of TAC. The database supplies 22 of the 33 open beach-days directly; the remaining 11, at Long Beach and Twin Harbors, must be imputed with the workbook's own rule.</w:t>
      </w:r>
    </w:p>
    <w:p>
      <w:pPr>
        <w:pStyle w:val="ListParagraph"/>
        <w:numPr>
          <w:ilvl w:val="0"/>
          <w:numId w:val="1"/>
        </w:numPr>
        <w:spacing w:after="60" w:line="276"/>
      </w:pPr>
      <w:r>
        <w:rPr>
          <w:sz w:val="21"/>
          <w:szCs w:val="21"/>
        </w:rPr>
        <w:t xml:space="preserve">Rebuild the dig-day register, the coverage sheet, and the sampling-design Monte Carlo once 2017-18 and 2022-23 are complete. The register holds 50 rows for 2017-18, from 10 dig days, where the season has 27; and the Monte Carlo's 262 tide series omit both the 2017-18 season and the May 2023 series.</w:t>
      </w:r>
    </w:p>
    <w:p>
      <w:pPr>
        <w:pStyle w:val="ListParagraph"/>
        <w:numPr>
          <w:ilvl w:val="0"/>
          <w:numId w:val="1"/>
        </w:numPr>
        <w:spacing w:after="60" w:line="276"/>
      </w:pPr>
      <w:r>
        <w:rPr>
          <w:sz w:val="21"/>
          <w:szCs w:val="21"/>
        </w:rPr>
        <w:t xml:space="preserve">Identify the source of the 2017-18 wastage figures, 109,381 clams, or record that the season's wastage is unsupported by any surviving workbook or database record.</w:t>
      </w:r>
    </w:p>
    <w:p>
      <w:pPr>
        <w:pStyle w:val="ListParagraph"/>
        <w:numPr>
          <w:ilvl w:val="0"/>
          <w:numId w:val="1"/>
        </w:numPr>
        <w:spacing w:after="60" w:line="276"/>
      </w:pPr>
      <w:r>
        <w:rPr>
          <w:sz w:val="21"/>
          <w:szCs w:val="21"/>
        </w:rPr>
        <w:t xml:space="preserve">Re-examine the field records for four 2017-18 beach-days: Copalis on 2 November 2017 and 21 April 2018, where the printout and the database disagree on effort by 10.3 and 5.2 percent; and Long Beach on 31 December 2017 and Mocrocks on 21 April 2018, where they disagree on catch rate by 1.9 and 4.6 clams per digger trip.</w:t>
      </w:r>
    </w:p>
    <w:p>
      <w:pPr>
        <w:pStyle w:val="Heading2"/>
        <w:spacing w:after="100" w:before="200"/>
      </w:pPr>
      <w:r>
        <w:t xml:space="preserve">12.4 Recommendations in priority order</w:t>
      </w:r>
    </w:p>
    <w:p>
      <w:pPr>
        <w:spacing w:after="120" w:before="0" w:line="276"/>
      </w:pPr>
      <w:r>
        <w:rPr>
          <w:sz w:val="21"/>
          <w:szCs w:val="21"/>
        </w:rPr>
        <w:t xml:space="preserve">Ordered by the ratio of what they buy to what they cost. The first two correct published numbers. The next four change the estimate. The rest change what can be said about it.</w:t>
      </w:r>
    </w:p>
    <w:p>
      <w:pPr>
        <w:keepNext/>
        <w:spacing w:after="60" w:before="140"/>
      </w:pPr>
      <w:r>
        <w:rPr>
          <w:b/>
          <w:bCs/>
          <w:sz w:val="18"/>
          <w:szCs w:val="18"/>
        </w:rPr>
        <w:t xml:space="preserve">Table 22. </w:t>
      </w:r>
      <w:r>
        <w:rPr>
          <w:i/>
          <w:iCs/>
          <w:sz w:val="18"/>
          <w:szCs w:val="18"/>
        </w:rPr>
        <w:t xml:space="preserve">Recommendations, in priority order.</w:t>
      </w:r>
    </w:p>
    <w:tbl>
      <w:tblPr>
        <w:tblW w:type="dxa" w:w="9360"/>
        <w:tblBorders>
          <w:top w:val="single" w:color="7F7F7F" w:sz="6"/>
          <w:left w:val="none" w:color="FFFFFF" w:sz="0"/>
          <w:bottom w:val="single" w:color="7F7F7F" w:sz="6"/>
          <w:right w:val="none" w:color="FFFFFF" w:sz="0"/>
          <w:insideH w:val="single" w:color="BFBFBF" w:sz="2"/>
          <w:insideV w:val="none" w:color="FFFFFF" w:sz="0"/>
        </w:tblBorders>
      </w:tblPr>
      <w:tblGrid>
        <w:gridCol w:w="500"/>
        <w:gridCol w:w="3100"/>
        <w:gridCol w:w="3700"/>
        <w:gridCol w:w="2060"/>
      </w:tblGrid>
      <w:tr>
        <w:trPr>
          <w:tblHeader/>
        </w:trPr>
        <w:tc>
          <w:tcPr>
            <w:tcW w:type="dxa" w:w="500"/>
            <w:shd w:fill="E8EDF1" w:color="auto" w:val="clear"/>
            <w:tcMar>
              <w:top w:type="dxa" w:w="50"/>
              <w:left w:type="dxa" w:w="80"/>
              <w:bottom w:type="dxa" w:w="50"/>
              <w:right w:type="dxa" w:w="80"/>
            </w:tcMar>
          </w:tcPr>
          <w:p>
            <w:pPr>
              <w:spacing w:after="0" w:before="0" w:line="240"/>
            </w:pPr>
            <w:r>
              <w:rPr>
                <w:b/>
                <w:bCs/>
                <w:i w:val="false"/>
                <w:iCs w:val="false"/>
                <w:sz w:val="17"/>
                <w:szCs w:val="17"/>
              </w:rPr>
              <w:t xml:space="preserve">#</w:t>
            </w:r>
          </w:p>
        </w:tc>
        <w:tc>
          <w:tcPr>
            <w:tcW w:type="dxa" w:w="31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Recommendation</w:t>
            </w:r>
          </w:p>
        </w:tc>
        <w:tc>
          <w:tcPr>
            <w:tcW w:type="dxa" w:w="370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What it buys</w:t>
            </w:r>
          </w:p>
        </w:tc>
        <w:tc>
          <w:tcPr>
            <w:tcW w:type="dxa" w:w="2060"/>
            <w:shd w:fill="E8EDF1" w:color="auto" w:val="clear"/>
            <w:tcMar>
              <w:top w:type="dxa" w:w="50"/>
              <w:left w:type="dxa" w:w="80"/>
              <w:bottom w:type="dxa" w:w="50"/>
              <w:right w:type="dxa" w:w="80"/>
            </w:tcMar>
          </w:tcPr>
          <w:p>
            <w:pPr>
              <w:spacing w:after="0" w:before="0" w:line="240"/>
              <w:jc w:val="center"/>
            </w:pPr>
            <w:r>
              <w:rPr>
                <w:b/>
                <w:bCs/>
                <w:i w:val="false"/>
                <w:iCs w:val="false"/>
                <w:sz w:val="17"/>
                <w:szCs w:val="17"/>
              </w:rPr>
              <w:t xml:space="preserve">Cost</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Restore the 4 to 14 May 2023 tide series to the 2022-23 workbook and republish that season</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Corrects a published season total that is understated by at least 61,959 digger trips, 26.1 percent of the figure now in the record</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database supplies 22 of the 33 open beach-days; 11 need imputing</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2</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Adopt the 2017-18 FINAL printout as the season of record and rebuild the daily series from it</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Restores the most completely sampled season in the series, 99.97 percent census-backed, to every coverage, imputation and sampling analysis that currently omits it</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Transcription; the printout is in the repository and reconciles to the database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3</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Locate the current Long Beach, Copalis and Mocrocks expansion tables and recover the 2012 to 2021 egress surveys</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The only lever on the dominant variance term. It is the sole route to a Copalis harvest CV below 0.126, and it would let the Long Beach vintage step be dated and audited</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Archival search; no field work</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4</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Run two or three egress surveys per beach, once, prioritising Copalis</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Directly reduces the correction-factor bootstrap variance, which is 99 percent of Copalis effort variance and 96 percent of its harvest variance</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Two to three crew-days per beach, once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5</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Replace the hand-typed CPUE on estimated beach-days with the donor beach's measured same-day CPUE</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Replaces an unauditable number with a measured one whose error is known (sd of log ratio 0.448). Raises Long Beach harvest by 5.5 to 7.2 percent</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 a formula change</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6</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Apply the imputation bias multipliers of Table 15</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Removes a known, measured, one-sided bias. Raises Long Beach season effort by about 9 percent</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 a lookup</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7</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Reallocate counts to 45 percent of open days at every beach, with a floor of two per tide series, choosing the largest-effort days</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Brings the Long Beach tide-series harvest CV from 0.294 to 0.175, meeting the design target for the first time</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Minus 19 crew-day units. It pays for itself (Table 21)</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8</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Walk all seven Long Beach segments on any counted Long Beach day</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Retires the section-ratio imputation and its 0.281 log-error standard deviation</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One extra crew-day unit per counted Long Beach day; already in the arithmetic of Table 21</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9</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Run a paired-observer beach count on a handful of dig days</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Closes the one term in the budget with no estimate at all. Until it is closed every interval is a lower bound</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A few crew-days, once</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10</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Add a count-time field, and generate the season workbook from the database</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Removes the transcription defect class, including the two truncations found here, and makes the count window observable rather than inferred</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Development time</w:t>
            </w:r>
          </w:p>
        </w:tc>
      </w:tr>
      <w:tr>
        <w:tc>
          <w:tcPr>
            <w:tcW w:type="dxa" w:w="500"/>
            <w:tcMar>
              <w:top w:type="dxa" w:w="50"/>
              <w:left w:type="dxa" w:w="80"/>
              <w:bottom w:type="dxa" w:w="50"/>
              <w:right w:type="dxa" w:w="80"/>
            </w:tcMar>
          </w:tcPr>
          <w:p>
            <w:pPr>
              <w:spacing w:after="0" w:before="0" w:line="240"/>
            </w:pPr>
            <w:r>
              <w:rPr>
                <w:b w:val="false"/>
                <w:bCs w:val="false"/>
                <w:i w:val="false"/>
                <w:iCs w:val="false"/>
                <w:sz w:val="16"/>
                <w:szCs w:val="16"/>
              </w:rPr>
              <w:t xml:space="preserve">11</w:t>
            </w:r>
          </w:p>
        </w:tc>
        <w:tc>
          <w:tcPr>
            <w:tcW w:type="dxa" w:w="31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Publish a per-bin survey count with every expansion table and adopt one prior-to-start convention</w:t>
            </w:r>
          </w:p>
        </w:tc>
        <w:tc>
          <w:tcPr>
            <w:tcW w:type="dxa" w:w="3700"/>
            <w:tcMar>
              <w:top w:type="dxa" w:w="50"/>
              <w:left w:type="dxa" w:w="80"/>
              <w:bottom w:type="dxa" w:w="50"/>
              <w:right w:type="dxa" w:w="80"/>
            </w:tcMar>
          </w:tcPr>
          <w:p>
            <w:pPr>
              <w:spacing w:after="0" w:before="0" w:line="240"/>
              <w:jc w:val="center"/>
            </w:pPr>
            <w:r>
              <w:rPr>
                <w:b w:val="false"/>
                <w:bCs w:val="false"/>
                <w:i w:val="false"/>
                <w:iCs w:val="false"/>
                <w:sz w:val="16"/>
                <w:szCs w:val="16"/>
              </w:rPr>
              <w:t xml:space="preserve">Makes the thinnest evidence in the table visible, and makes future tables comparable</w:t>
            </w:r>
          </w:p>
        </w:tc>
        <w:tc>
          <w:tcPr>
            <w:tcW w:type="dxa" w:w="2060"/>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w:t>
            </w:r>
          </w:p>
        </w:tc>
      </w:tr>
      <w:tr>
        <w:tc>
          <w:tcPr>
            <w:tcW w:type="dxa" w:w="500"/>
            <w:shd w:fill="F5F7F9" w:color="auto" w:val="clear"/>
            <w:tcMar>
              <w:top w:type="dxa" w:w="50"/>
              <w:left w:type="dxa" w:w="80"/>
              <w:bottom w:type="dxa" w:w="50"/>
              <w:right w:type="dxa" w:w="80"/>
            </w:tcMar>
          </w:tcPr>
          <w:p>
            <w:pPr>
              <w:spacing w:after="0" w:before="0" w:line="240"/>
            </w:pPr>
            <w:r>
              <w:rPr>
                <w:b w:val="false"/>
                <w:bCs w:val="false"/>
                <w:i w:val="false"/>
                <w:iCs w:val="false"/>
                <w:sz w:val="16"/>
                <w:szCs w:val="16"/>
              </w:rPr>
              <w:t xml:space="preserve">12</w:t>
            </w:r>
          </w:p>
        </w:tc>
        <w:tc>
          <w:tcPr>
            <w:tcW w:type="dxa" w:w="31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Document or retire the Kalaloch series, and resolve the source of the 2017-18 wastage</w:t>
            </w:r>
          </w:p>
        </w:tc>
        <w:tc>
          <w:tcPr>
            <w:tcW w:type="dxa" w:w="370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Two series of numbers currently rest on no surviving record</w:t>
            </w:r>
          </w:p>
        </w:tc>
        <w:tc>
          <w:tcPr>
            <w:tcW w:type="dxa" w:w="2060"/>
            <w:shd w:fill="F5F7F9" w:color="auto" w:val="clear"/>
            <w:tcMar>
              <w:top w:type="dxa" w:w="50"/>
              <w:left w:type="dxa" w:w="80"/>
              <w:bottom w:type="dxa" w:w="50"/>
              <w:right w:type="dxa" w:w="80"/>
            </w:tcMar>
          </w:tcPr>
          <w:p>
            <w:pPr>
              <w:spacing w:after="0" w:before="0" w:line="240"/>
              <w:jc w:val="center"/>
            </w:pPr>
            <w:r>
              <w:rPr>
                <w:b w:val="false"/>
                <w:bCs w:val="false"/>
                <w:i w:val="false"/>
                <w:iCs w:val="false"/>
                <w:sz w:val="16"/>
                <w:szCs w:val="16"/>
              </w:rPr>
              <w:t xml:space="preserve">Zero</w:t>
            </w:r>
          </w:p>
        </w:tc>
      </w:tr>
    </w:tbl>
    <w:p>
      <w:pPr>
        <w:spacing w:after="120"/>
      </w:pPr>
    </w:p>
    <w:p>
      <w:pPr>
        <w:pStyle w:val="Heading1"/>
        <w:spacing w:after="140" w:before="280"/>
      </w:pPr>
      <w:r>
        <w:t xml:space="preserve">13. References and companion documents</w:t>
      </w:r>
    </w:p>
    <w:p>
      <w:pPr>
        <w:spacing w:after="120" w:before="0" w:line="276"/>
      </w:pPr>
      <w:r>
        <w:rPr>
          <w:b/>
          <w:bCs/>
          <w:sz w:val="21"/>
          <w:szCs w:val="21"/>
        </w:rPr>
        <w:t xml:space="preserve">Primary sources</w:t>
      </w:r>
    </w:p>
    <w:p>
      <w:pPr>
        <w:pStyle w:val="ListParagraph"/>
        <w:numPr>
          <w:ilvl w:val="0"/>
          <w:numId w:val="1"/>
        </w:numPr>
        <w:spacing w:after="60" w:line="276"/>
      </w:pPr>
      <w:r>
        <w:rPr>
          <w:sz w:val="21"/>
          <w:szCs w:val="21"/>
        </w:rPr>
        <w:t xml:space="preserve">Ayres, D.L. Re-estimate of State Razor Clam Harvest Totals. WDFW memorandum, Region Six / Coastal Shellfish, 29 August 2013 (with re-estimation workbook). Primary source for the 2013 correction and the corrected expansion equation.</w:t>
      </w:r>
    </w:p>
    <w:p>
      <w:pPr>
        <w:pStyle w:val="ListParagraph"/>
        <w:numPr>
          <w:ilvl w:val="0"/>
          <w:numId w:val="1"/>
        </w:numPr>
        <w:spacing w:after="60" w:line="276"/>
      </w:pPr>
      <w:r>
        <w:rPr>
          <w:sz w:val="21"/>
          <w:szCs w:val="21"/>
        </w:rPr>
        <w:t xml:space="preserve">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pPr>
        <w:pStyle w:val="ListParagraph"/>
        <w:numPr>
          <w:ilvl w:val="0"/>
          <w:numId w:val="1"/>
        </w:numPr>
        <w:spacing w:after="60" w:line="276"/>
      </w:pPr>
      <w:r>
        <w:rPr>
          <w:sz w:val="21"/>
          <w:szCs w:val="21"/>
        </w:rPr>
        <w:t xml:space="preserve">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pPr>
        <w:pStyle w:val="ListParagraph"/>
        <w:numPr>
          <w:ilvl w:val="0"/>
          <w:numId w:val="1"/>
        </w:numPr>
        <w:spacing w:after="60" w:line="276"/>
      </w:pPr>
      <w:r>
        <w:rPr>
          <w:sz w:val="21"/>
          <w:szCs w:val="21"/>
        </w:rPr>
        <w:t xml:space="preserve">Berry-Powell, Z., et al. 2023. Pacific razor clam stock assessment by the pumped-area method. Journal of Shellfish Research 42(1):91-98. DOI 10.2983/035.042.0109. Companion population and TAC method.</w:t>
      </w:r>
    </w:p>
    <w:p>
      <w:pPr>
        <w:pStyle w:val="ListParagraph"/>
        <w:numPr>
          <w:ilvl w:val="0"/>
          <w:numId w:val="1"/>
        </w:numPr>
        <w:spacing w:after="60" w:line="276"/>
      </w:pPr>
      <w:r>
        <w:rPr>
          <w:sz w:val="21"/>
          <w:szCs w:val="21"/>
        </w:rPr>
        <w:t xml:space="preserve">Cochran, W.G. 1977. Sampling Techniques, 3rd edition. Wiley. Chapter 10, two-stage sampling, is the appropriate reference for the variance of the pumped-area estimator and for any future two-stage treatment of the beach count.</w:t>
      </w:r>
    </w:p>
    <w:p>
      <w:pPr>
        <w:pStyle w:val="ListParagraph"/>
        <w:numPr>
          <w:ilvl w:val="0"/>
          <w:numId w:val="1"/>
        </w:numPr>
        <w:spacing w:after="60" w:line="276"/>
      </w:pPr>
      <w:r>
        <w:rPr>
          <w:sz w:val="21"/>
          <w:szCs w:val="21"/>
        </w:rPr>
        <w:t xml:space="preserve">Fish and Wildlife Commission Policy C3009, Razor Clam Management.</w:t>
      </w:r>
    </w:p>
    <w:p>
      <w:pPr>
        <w:pStyle w:val="ListParagraph"/>
        <w:numPr>
          <w:ilvl w:val="0"/>
          <w:numId w:val="1"/>
        </w:numPr>
        <w:spacing w:after="60" w:line="276"/>
      </w:pPr>
      <w:r>
        <w:rPr>
          <w:sz w:val="21"/>
          <w:szCs w:val="21"/>
        </w:rPr>
        <w:t xml:space="preserve">2017 Fall - 2018 Spring Harvest.FINAL.pdf (WDFW, printed 17 July 2018). The complete 2017-18 season record, and the only surviving source for that season's daily effort, harvest, catch rate, wastage and percent of TAC. Basis of Table 5.</w:t>
      </w:r>
    </w:p>
    <w:p>
      <w:pPr>
        <w:pStyle w:val="ListParagraph"/>
        <w:numPr>
          <w:ilvl w:val="0"/>
          <w:numId w:val="1"/>
        </w:numPr>
        <w:spacing w:after="60" w:line="276"/>
      </w:pPr>
      <w:r>
        <w:rPr>
          <w:sz w:val="21"/>
          <w:szCs w:val="21"/>
        </w:rPr>
        <w:t xml:space="preserve">WDFW razor clam sample and harvest schedules, by season. The MAY 04 sheet of the 2022-23 schedule establishes that 33 beach-days were open from 4 to 14 May 2023, that 21 were assigned a count, and that Long Beach and Twin Harbors were each open 11 days and counted 5. It is the evidence that the 2022-23 workbook omits a whole tide series.</w:t>
      </w:r>
    </w:p>
    <w:p>
      <w:pPr>
        <w:spacing w:after="120" w:before="120" w:line="276"/>
      </w:pPr>
      <w:r>
        <w:rPr>
          <w:b/>
          <w:bCs/>
          <w:sz w:val="21"/>
          <w:szCs w:val="21"/>
        </w:rPr>
        <w:t xml:space="preserve">Precision standards cited in section 11</w:t>
      </w:r>
    </w:p>
    <w:p>
      <w:pPr>
        <w:pStyle w:val="ListParagraph"/>
        <w:numPr>
          <w:ilvl w:val="0"/>
          <w:numId w:val="1"/>
        </w:numPr>
        <w:spacing w:after="60" w:line="276"/>
      </w:pPr>
      <w:r>
        <w:rPr>
          <w:sz w:val="21"/>
          <w:szCs w:val="21"/>
        </w:rPr>
        <w:t xml:space="preserve">NOAA Fisheries. Recreational Fishing Survey and Data Standards, standards 7.2.2.1 and 7.2.2.2. MRIP warns that estimates with a percent standard error above 30 should be used with caution and does not support estimates above 50.</w:t>
      </w:r>
    </w:p>
    <w:p>
      <w:pPr>
        <w:pStyle w:val="ListParagraph"/>
        <w:numPr>
          <w:ilvl w:val="0"/>
          <w:numId w:val="1"/>
        </w:numPr>
        <w:spacing w:after="60" w:line="276"/>
      </w:pPr>
      <w:r>
        <w:rPr>
          <w:sz w:val="21"/>
          <w:szCs w:val="21"/>
        </w:rPr>
        <w:t xml:space="preserve">NOAA Fisheries. Proceedings of the Workshop on Percent Standard Error (PSE) of Recreational Fishing Data. General agreement that data with a percent standard error at or below 40 provide valid input to stock assessment models.</w:t>
      </w:r>
    </w:p>
    <w:p>
      <w:pPr>
        <w:pStyle w:val="ListParagraph"/>
        <w:numPr>
          <w:ilvl w:val="0"/>
          <w:numId w:val="1"/>
        </w:numPr>
        <w:spacing w:after="60" w:line="276"/>
      </w:pPr>
      <w:r>
        <w:rPr>
          <w:sz w:val="21"/>
          <w:szCs w:val="21"/>
        </w:rPr>
        <w:t xml:space="preserve">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pPr>
        <w:pStyle w:val="ListParagraph"/>
        <w:numPr>
          <w:ilvl w:val="0"/>
          <w:numId w:val="1"/>
        </w:numPr>
        <w:spacing w:after="60" w:line="276"/>
      </w:pPr>
      <w:r>
        <w:rPr>
          <w:sz w:val="21"/>
          <w:szCs w:val="21"/>
        </w:rPr>
        <w:t xml:space="preserve">Lester, N.P., et al. 1991, in Guthrie, D., et al. (editors), Creel and Angler Surveys in Fisheries Management. American Fisheries Society Symposium 12. Cited by McCormick and Meyer (2017) as the source of the CV of 0.20 design convention. The companion sampling-design workbook attributes this to Bayley et al. (1991); that attribution could not be confirmed and should be corrected.</w:t>
      </w:r>
    </w:p>
    <w:p>
      <w:pPr>
        <w:spacing w:after="120" w:before="120" w:line="276"/>
      </w:pPr>
      <w:r>
        <w:rPr>
          <w:b/>
          <w:bCs/>
          <w:sz w:val="21"/>
          <w:szCs w:val="21"/>
        </w:rPr>
        <w:t xml:space="preserve">WDFW program documents</w:t>
      </w:r>
    </w:p>
    <w:p>
      <w:pPr>
        <w:pStyle w:val="ListParagraph"/>
        <w:numPr>
          <w:ilvl w:val="0"/>
          <w:numId w:val="1"/>
        </w:numPr>
        <w:spacing w:after="60" w:line="276"/>
      </w:pPr>
      <w:r>
        <w:rPr>
          <w:sz w:val="21"/>
          <w:szCs w:val="21"/>
        </w:rPr>
        <w:t xml:space="preserve">WDFW. Washington Recreational Razor Clam Management Update (Region 6, Coastal Shellfish). Source for the 1999-2000 through 2024-25 seasonal series, the five-beach and 58-mile framing, Commission Policy C3009, the marine-toxin history, and the 2024-25 totals.</w:t>
      </w:r>
    </w:p>
    <w:p>
      <w:pPr>
        <w:pStyle w:val="ListParagraph"/>
        <w:numPr>
          <w:ilvl w:val="0"/>
          <w:numId w:val="1"/>
        </w:numPr>
        <w:spacing w:after="60" w:line="276"/>
      </w:pPr>
      <w:r>
        <w:rPr>
          <w:sz w:val="21"/>
          <w:szCs w:val="21"/>
        </w:rPr>
        <w:t xml:space="preserve">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pPr>
        <w:pStyle w:val="ListParagraph"/>
        <w:numPr>
          <w:ilvl w:val="0"/>
          <w:numId w:val="1"/>
        </w:numPr>
        <w:spacing w:after="60" w:line="276"/>
      </w:pPr>
      <w:r>
        <w:rPr>
          <w:sz w:val="21"/>
          <w:szCs w:val="21"/>
        </w:rPr>
        <w:t xml:space="preserve">WDFW historical seasonal recreational harvest and effort series (1949 to 2010), the coastwide source underlying Figures 1 and 2.</w:t>
      </w:r>
    </w:p>
    <w:p>
      <w:pPr>
        <w:spacing w:after="120" w:before="120" w:line="276"/>
      </w:pPr>
      <w:r>
        <w:rPr>
          <w:b/>
          <w:bCs/>
          <w:sz w:val="21"/>
          <w:szCs w:val="21"/>
        </w:rPr>
        <w:t xml:space="preserve">Companion data products (this project, 2026 review)</w:t>
      </w:r>
    </w:p>
    <w:p>
      <w:pPr>
        <w:pStyle w:val="ListParagraph"/>
        <w:numPr>
          <w:ilvl w:val="0"/>
          <w:numId w:val="1"/>
        </w:numPr>
        <w:spacing w:after="60" w:line="276"/>
      </w:pPr>
      <w:r>
        <w:rPr>
          <w:sz w:val="21"/>
          <w:szCs w:val="21"/>
        </w:rPr>
        <w:t xml:space="preserve">RazorClam_HarvestDB_Extract_and_Pipeline: all 21 raw tables, the audited cleaning layer, the audit log, and the validated recompute script. Nothing in it requires Access.</w:t>
      </w:r>
    </w:p>
    <w:p>
      <w:pPr>
        <w:pStyle w:val="ListParagraph"/>
        <w:numPr>
          <w:ilvl w:val="0"/>
          <w:numId w:val="1"/>
        </w:numPr>
        <w:spacing w:after="60" w:line="276"/>
      </w:pPr>
      <w:r>
        <w:rPr>
          <w:sz w:val="21"/>
          <w:szCs w:val="21"/>
        </w:rPr>
        <w:t xml:space="preserve">WDFW_RazorClam_HarvestDB_Recompute_and_Reconciliation.xlsx: validation against the stored tables, topline by season, coverage and imputation share, beach-day reconciliation, and eighteen issue verdicts.</w:t>
      </w:r>
    </w:p>
    <w:p>
      <w:pPr>
        <w:pStyle w:val="ListParagraph"/>
        <w:numPr>
          <w:ilvl w:val="0"/>
          <w:numId w:val="1"/>
        </w:numPr>
        <w:spacing w:after="60" w:line="276"/>
      </w:pPr>
      <w:r>
        <w:rPr>
          <w:sz w:val="21"/>
          <w:szCs w:val="21"/>
        </w:rPr>
        <w:t xml:space="preserve">WDFW_RazorClam_DigDay_Register_2007_2026.xlsx: every dig day across 19 seasons, with tide series, monitoring status, donor links, reference days, verbatim estimation formulas, and reverse-matched correction-factor windows.</w:t>
      </w:r>
    </w:p>
    <w:p>
      <w:pPr>
        <w:pStyle w:val="ListParagraph"/>
        <w:numPr>
          <w:ilvl w:val="0"/>
          <w:numId w:val="1"/>
        </w:numPr>
        <w:spacing w:after="60" w:line="276"/>
      </w:pPr>
      <w:r>
        <w:rPr>
          <w:sz w:val="21"/>
          <w:szCs w:val="21"/>
        </w:rPr>
        <w:t xml:space="preserve">WDFW_RazorClam_Sampled_Effort_2007_2026.xlsx: every beach-day in every Effort tab, classified sampled, partial, or estimated from the cell contents rather than the flag; with season reconciliation and fourteen numbered defects.</w:t>
      </w:r>
    </w:p>
    <w:p>
      <w:pPr>
        <w:pStyle w:val="ListParagraph"/>
        <w:numPr>
          <w:ilvl w:val="0"/>
          <w:numId w:val="1"/>
        </w:numPr>
        <w:spacing w:after="60" w:line="276"/>
      </w:pPr>
      <w:r>
        <w:rPr>
          <w:sz w:val="21"/>
          <w:szCs w:val="21"/>
        </w:rPr>
        <w:t xml:space="preserve">1993-2026_Ingress_Egress_Consolidated.xlsx: every located egress survey, in long form, with per-table provenance, four reconstructed surveys, and fifteen numbered defects. Source for Figure 8 and Tables 3, 4 and 11.</w:t>
      </w:r>
    </w:p>
    <w:p>
      <w:pPr>
        <w:pStyle w:val="ListParagraph"/>
        <w:numPr>
          <w:ilvl w:val="0"/>
          <w:numId w:val="1"/>
        </w:numPr>
        <w:spacing w:after="60" w:line="276"/>
      </w:pPr>
      <w:r>
        <w:rPr>
          <w:sz w:val="21"/>
          <w:szCs w:val="21"/>
        </w:rPr>
        <w:t xml:space="preserve">RazorClam_CF_ExpansionTable_Lookup.xlsx: the four operational tables extracted from the harvest database form, the archived 2012 and 2013 condition tables, and the condition-selection rules. Source for Figures 5 and 9 and Tables 6 and 7.</w:t>
      </w:r>
    </w:p>
    <w:p>
      <w:pPr>
        <w:pStyle w:val="ListParagraph"/>
        <w:numPr>
          <w:ilvl w:val="0"/>
          <w:numId w:val="1"/>
        </w:numPr>
        <w:spacing w:after="60" w:line="276"/>
      </w:pPr>
      <w:r>
        <w:rPr>
          <w:sz w:val="21"/>
          <w:szCs w:val="21"/>
        </w:rPr>
        <w:t xml:space="preserve">WDFW_RazorClam_Imputation_Error_2007_2026.xlsx: the leave-one-out validation of the imputation rule, multiplier pools, and season intervals from the imputation step. Source for Figure 11 and Tables 14 and 15.</w:t>
      </w:r>
    </w:p>
    <w:p>
      <w:pPr>
        <w:pStyle w:val="ListParagraph"/>
        <w:numPr>
          <w:ilvl w:val="0"/>
          <w:numId w:val="1"/>
        </w:numPr>
        <w:spacing w:after="60" w:line="276"/>
      </w:pPr>
      <w:r>
        <w:rPr>
          <w:sz w:val="21"/>
          <w:szCs w:val="21"/>
        </w:rPr>
        <w:t xml:space="preserve">WDFW_RazorClam_Corrected_Estimates_and_Uncertainty.xlsx: bias-corrected effort and harvest, the survey bootstrap of every correction factor, the full variance decomposition, and the CPUE replacement day by day. Source for Figures 10 and 12 and Tables 13, 16 and 17.</w:t>
      </w:r>
    </w:p>
    <w:p>
      <w:pPr>
        <w:pStyle w:val="ListParagraph"/>
        <w:numPr>
          <w:ilvl w:val="0"/>
          <w:numId w:val="1"/>
        </w:numPr>
        <w:spacing w:after="60" w:line="276"/>
      </w:pPr>
      <w:r>
        <w:rPr>
          <w:sz w:val="21"/>
          <w:szCs w:val="21"/>
        </w:rPr>
        <w:t xml:space="preserve">WDFW_RazorClam_Sampling_Design_Recommendation.xlsx: the Monte Carlo behind section 11. Source for Figures 13 and 14 and Tables 18 to 21.</w:t>
      </w:r>
    </w:p>
    <w:p>
      <w:pPr>
        <w:pStyle w:val="ListParagraph"/>
        <w:numPr>
          <w:ilvl w:val="0"/>
          <w:numId w:val="1"/>
        </w:numPr>
        <w:spacing w:after="60" w:line="276"/>
      </w:pPr>
      <w:r>
        <w:rPr>
          <w:sz w:val="21"/>
          <w:szCs w:val="21"/>
        </w:rPr>
        <w:t xml:space="preserve">02_data/harvest_inseason_records: the in-season workbook for every season from 2007-08, plus the 2017-18 FINAL printout. Section 6.2 and section 9 rest on these files directly.</w:t>
      </w:r>
    </w:p>
    <w:p>
      <w:pPr>
        <w:pStyle w:val="ListParagraph"/>
        <w:numPr>
          <w:ilvl w:val="0"/>
          <w:numId w:val="1"/>
        </w:numPr>
        <w:spacing w:after="60" w:line="276"/>
      </w:pPr>
      <w:r>
        <w:rPr>
          <w:sz w:val="21"/>
          <w:szCs w:val="21"/>
        </w:rPr>
        <w:t xml:space="preserve">Companion working documents: harvest-database data dictionary; ingress/egress database data dictionary; effort-expansion protocol.</w:t>
      </w:r>
    </w:p>
    <w:p>
      <w:pPr>
        <w:spacing w:after="120" w:before="180" w:line="276"/>
      </w:pPr>
      <w:r>
        <w:rPr>
          <w:i/>
          <w:iCs/>
          <w:sz w:val="19"/>
          <w:szCs w:val="19"/>
        </w:rPr>
        <w:t xml:space="preserve">Compiled as a working reference. Equations validated against the harvest-database implementation; historical and table-version statements are drawn from the program documents and survey records cited above. Every figure and table is generated directly from the companion data products and is reproducible from them. Items marked open could not be confirmed from the records available at the time of writing.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right"/>
    </w:pPr>
    <w:r>
      <w:rPr>
        <w:color w:val="808080"/>
        <w:sz w:val="16"/>
        <w:szCs w:val="16"/>
      </w:rPr>
      <w:t xml:space="preserve">WDFW Recreational Razor Clam Harvest Estimation  |  Methodology, History, Uncertainty, and Sampling Design  |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B4965"/>
      <w:sz w:val="28"/>
      <w:szCs w:val="28"/>
    </w:rPr>
  </w:style>
  <w:style w:type="paragraph" w:styleId="Heading2">
    <w:name w:val="Heading 2"/>
    <w:basedOn w:val="Normal"/>
    <w:next w:val="Normal"/>
    <w:qFormat/>
    <w:pPr>
      <w:spacing w:after="100" w:before="200"/>
    </w:pPr>
    <w:rPr>
      <w:rFonts w:ascii="Calibri" w:cs="Calibri" w:eastAsia="Calibri" w:hAnsi="Calibri"/>
      <w:b/>
      <w:bCs/>
      <w:color w:val="2F6B8A"/>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1bba75a54edccc14d12d616a8fcc8af3a4849b.png"/><Relationship Id="rId10" Type="http://schemas.openxmlformats.org/officeDocument/2006/relationships/image" Target="media/eb10a60a56823ce14955a691d92a8b0d6782cb95.png"/><Relationship Id="rId11" Type="http://schemas.openxmlformats.org/officeDocument/2006/relationships/image" Target="media/c118dc6d2754eb67803b96d7fe57c423be3c73e1.jpg"/><Relationship Id="rId12" Type="http://schemas.openxmlformats.org/officeDocument/2006/relationships/image" Target="media/2638bd6ebdfc2c791445b0c5239a98c86013a2d5.png"/><Relationship Id="rId13" Type="http://schemas.openxmlformats.org/officeDocument/2006/relationships/image" Target="media/37ac69eb3c21fc16e671d9b75176a1ce5a93a5e7.png"/><Relationship Id="rId14" Type="http://schemas.openxmlformats.org/officeDocument/2006/relationships/image" Target="media/f9dedfc53bcecaa30d56f72c67ad22f221f49695.png"/><Relationship Id="rId15" Type="http://schemas.openxmlformats.org/officeDocument/2006/relationships/image" Target="media/84488bbe3b944ac84a35f5c07b5599fc9e5c8b0d.png"/><Relationship Id="rId16" Type="http://schemas.openxmlformats.org/officeDocument/2006/relationships/image" Target="media/f7053988331e9d9e9438383584724cc78b558d8e.png"/><Relationship Id="rId17" Type="http://schemas.openxmlformats.org/officeDocument/2006/relationships/image" Target="media/f0a62dbcc96e98f3f93010d8366fb562ef51c407.png"/><Relationship Id="rId18" Type="http://schemas.openxmlformats.org/officeDocument/2006/relationships/image" Target="media/0ecd74caef8ace0a0dcb267db8ae5cf04fc26b8a.png"/><Relationship Id="rId19" Type="http://schemas.openxmlformats.org/officeDocument/2006/relationships/image" Target="media/3b51bf0555ed07f377209dc2aa249b5c6b182102.png"/><Relationship Id="rId20" Type="http://schemas.openxmlformats.org/officeDocument/2006/relationships/image" Target="media/5c6bb920f27712ee39742d95da12f430c61988ce.png"/><Relationship Id="rId21" Type="http://schemas.openxmlformats.org/officeDocument/2006/relationships/image" Target="media/cffb6d7d10b50157ff85c954a7ad126947889c64.png"/><Relationship Id="rId22" Type="http://schemas.openxmlformats.org/officeDocument/2006/relationships/image" Target="media/3a643fbfb8fe895818bd419be94a1ee58a35096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 Methodology, History, Uncertainty, and Sampling Design</dc:title>
  <dc:creator>WDFW Coastal Shellfish</dc:creator>
  <dc:description>2026 program review, version 5</dc:description>
  <cp:lastModifiedBy>Un-named</cp:lastModifiedBy>
  <cp:revision>1</cp:revision>
  <dcterms:created xsi:type="dcterms:W3CDTF">2026-07-09T22:14:47.484Z</dcterms:created>
  <dcterms:modified xsi:type="dcterms:W3CDTF">2026-07-09T22:14:47.485Z</dcterms:modified>
</cp:coreProperties>
</file>

<file path=docProps/custom.xml><?xml version="1.0" encoding="utf-8"?>
<Properties xmlns="http://schemas.openxmlformats.org/officeDocument/2006/custom-properties" xmlns:vt="http://schemas.openxmlformats.org/officeDocument/2006/docPropsVTypes"/>
</file>