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8"/>
          <w:szCs w:val="18"/>
        </w:rPr>
        <w:t xml:space="preserve">Washington Department of Fish and Wildlife  ·  Coastal Shellfish Unit</w:t>
      </w:r>
    </w:p>
    <w:p>
      <w:pPr>
        <w:spacing w:after="60"/>
      </w:pPr>
      <w:r>
        <w:rPr>
          <w:rFonts w:ascii="Arial" w:cs="Arial" w:eastAsia="Arial" w:hAnsi="Arial"/>
          <w:b/>
          <w:bCs/>
          <w:sz w:val="40"/>
          <w:szCs w:val="40"/>
        </w:rPr>
        <w:t xml:space="preserve">Recreational Razor Clam Harvest Estimation</w:t>
      </w:r>
    </w:p>
    <w:p>
      <w:pPr>
        <w:spacing w:after="120"/>
      </w:pPr>
      <w:r>
        <w:rPr>
          <w:rFonts w:ascii="Arial" w:cs="Arial" w:eastAsia="Arial" w:hAnsi="Arial"/>
          <w:b/>
          <w:bCs/>
          <w:color w:val="1F4E5F"/>
          <w:sz w:val="28"/>
          <w:szCs w:val="28"/>
        </w:rPr>
        <w:t xml:space="preserve">Methodology, History, and Outstanding Uncertainty</w:t>
      </w:r>
    </w:p>
    <w:p>
      <w:pPr>
        <w:pBdr>
          <w:bottom w:val="single" w:color="2E5F73" w:sz="6" w:space="1"/>
        </w:pBdr>
        <w:spacing w:after="120"/>
      </w:pPr>
    </w:p>
    <w:p>
      <w:pPr>
        <w:spacing w:after="120" w:before="0" w:line="276"/>
        <w:jc w:val="left"/>
      </w:pPr>
      <w:r>
        <w:rPr>
          <w:rFonts w:ascii="Arial" w:cs="Arial" w:eastAsia="Arial" w:hAnsi="Arial"/>
          <w:b/>
          <w:bCs/>
        </w:rPr>
        <w:t xml:space="preserve">Scope: </w:t>
      </w:r>
      <w:r>
        <w:rPr>
          <w:rFonts w:ascii="Arial" w:cs="Arial" w:eastAsia="Arial" w:hAnsi="Arial"/>
        </w:rPr>
        <w:t xml:space="preserve">A consolidated technical reference for how WDFW produces the coastal recreational razor clam harvest estimate: the field data collected, the equations applied, how the correction factor is derived, how the method and the seasons have changed over time, and the uncertainty that remains. It supersedes and expands the prior “WDFW Razor Clam Harvest Estimation Methodology / Field Data Collection” note, whose content is retained and corrected herein.</w:t>
      </w:r>
    </w:p>
    <w:p>
      <w:pPr>
        <w:spacing w:after="120" w:before="0" w:line="276"/>
        <w:jc w:val="left"/>
      </w:pPr>
      <w:r>
        <w:rPr>
          <w:rFonts w:ascii="Arial" w:cs="Arial" w:eastAsia="Arial" w:hAnsi="Arial"/>
          <w:b/>
          <w:bCs/>
        </w:rPr>
        <w:t xml:space="preserve">Status: </w:t>
      </w:r>
      <w:r>
        <w:rPr>
          <w:rFonts w:ascii="Arial" w:cs="Arial" w:eastAsia="Arial" w:hAnsi="Arial"/>
        </w:rPr>
        <w:t xml:space="preserve">Working reference compiled from program documents, the recreational-harvest (creel) database, and the ingress/egress survey database. Equations have been reconciled to, and validated against, the database implementation (see §4 and §6.2). Items that could not be confirmed from available records are flagged as open (§10).</w:t>
      </w:r>
    </w:p>
    <w:p>
      <w:pPr>
        <w:spacing w:after="160" w:before="0" w:line="276"/>
        <w:jc w:val="left"/>
      </w:pPr>
      <w:r>
        <w:rPr>
          <w:rFonts w:ascii="Arial" w:cs="Arial" w:eastAsia="Arial" w:hAnsi="Arial"/>
          <w:b/>
          <w:bCs/>
        </w:rPr>
        <w:t xml:space="preserve">Beaches covered: </w:t>
      </w:r>
      <w:r>
        <w:rPr>
          <w:rFonts w:ascii="Arial" w:cs="Arial" w:eastAsia="Arial" w:hAnsi="Arial"/>
        </w:rPr>
        <w:t xml:space="preserve">Long Beach, Twin Harbors, Copalis, and Mocrocks (the four expansion-table beaches). Kalaloch is assessed separately by Olympic National Park staff and is treated as a special case (§7.5).</w:t>
      </w:r>
    </w:p>
    <w:p>
      <w:pPr>
        <w:pStyle w:val="Heading1"/>
      </w:pPr>
      <w:r>
        <w:rPr>
          <w:rFonts w:ascii="Arial" w:cs="Arial" w:eastAsia="Arial" w:hAnsi="Arial"/>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and scope</w:t>
      </w:r>
    </w:p>
    <w:p>
      <w:pPr>
        <w:spacing w:after="120" w:before="0" w:line="276"/>
        <w:jc w:val="left"/>
      </w:pPr>
      <w:r>
        <w:rPr>
          <w:rFonts w:ascii="Arial" w:cs="Arial" w:eastAsia="Arial" w:hAnsi="Arial"/>
        </w:rPr>
        <w:t xml:space="preserve">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pPr>
        <w:spacing w:after="120" w:before="0" w:line="276"/>
        <w:jc w:val="left"/>
      </w:pPr>
      <w:r>
        <w:rPr>
          <w:rFonts w:ascii="Arial" w:cs="Arial" w:eastAsia="Arial" w:hAnsi="Arial"/>
        </w:rP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pPr>
        <w:pStyle w:val="Heading1"/>
      </w:pPr>
      <w:r>
        <w:rPr>
          <w:rFonts w:ascii="Arial" w:cs="Arial" w:eastAsia="Arial" w:hAnsi="Arial"/>
        </w:rPr>
        <w:t xml:space="preserve">2. Summary of the estimation approach</w:t>
      </w:r>
    </w:p>
    <w:p>
      <w:pPr>
        <w:spacing w:after="120" w:before="0" w:line="276"/>
        <w:jc w:val="left"/>
      </w:pPr>
      <w:r>
        <w:rPr>
          <w:rFonts w:ascii="Arial" w:cs="Arial" w:eastAsia="Arial" w:hAnsi="Arial"/>
        </w:rPr>
        <w:t xml:space="preserve">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pPr>
        <w:spacing w:after="120" w:before="0" w:line="276"/>
        <w:jc w:val="left"/>
      </w:pPr>
      <w:r>
        <w:rPr>
          <w:rFonts w:ascii="Arial" w:cs="Arial" w:eastAsia="Arial" w:hAnsi="Arial"/>
        </w:rPr>
        <w:t xml:space="preserve">For one beach on one open day the steps are:</w:t>
      </w:r>
    </w:p>
    <w:p>
      <w:pPr>
        <w:pStyle w:val="ListParagraph"/>
        <w:numPr>
          <w:ilvl w:val="0"/>
          <w:numId w:val="2"/>
        </w:numPr>
        <w:spacing w:after="60" w:line="276"/>
      </w:pPr>
      <w:r>
        <w:rPr>
          <w:rFonts w:ascii="Arial" w:cs="Arial" w:eastAsia="Arial" w:hAnsi="Arial"/>
          <w:b/>
          <w:bCs/>
        </w:rPr>
        <w:t xml:space="preserve">Count. </w:t>
      </w:r>
      <w:r>
        <w:rPr>
          <w:rFonts w:ascii="Arial" w:cs="Arial" w:eastAsia="Arial" w:hAnsi="Arial"/>
        </w:rPr>
        <w:t xml:space="preserve">A roving crew counts diggers along the beach about one hour before low water (or counts lights or cars on dark tides).</w:t>
      </w:r>
    </w:p>
    <w:p>
      <w:pPr>
        <w:pStyle w:val="ListParagraph"/>
        <w:numPr>
          <w:ilvl w:val="0"/>
          <w:numId w:val="2"/>
        </w:numPr>
        <w:spacing w:after="60" w:line="276"/>
      </w:pPr>
      <w:r>
        <w:rPr>
          <w:rFonts w:ascii="Arial" w:cs="Arial" w:eastAsia="Arial" w:hAnsi="Arial"/>
          <w:b/>
          <w:bCs/>
        </w:rPr>
        <w:t xml:space="preserve">Adjust for non-diggers. </w:t>
      </w:r>
      <w:r>
        <w:rPr>
          <w:rFonts w:ascii="Arial" w:cs="Arial" w:eastAsia="Arial" w:hAnsi="Arial"/>
        </w:rPr>
        <w:t xml:space="preserve">The head count is reduced to diggers using the fraction of interviewed people who were actually digging.</w:t>
      </w:r>
    </w:p>
    <w:p>
      <w:pPr>
        <w:pStyle w:val="ListParagraph"/>
        <w:numPr>
          <w:ilvl w:val="0"/>
          <w:numId w:val="2"/>
        </w:numPr>
        <w:spacing w:after="60" w:line="276"/>
      </w:pPr>
      <w:r>
        <w:rPr>
          <w:rFonts w:ascii="Arial" w:cs="Arial" w:eastAsia="Arial" w:hAnsi="Arial"/>
          <w:b/>
          <w:bCs/>
        </w:rPr>
        <w:t xml:space="preserve">Expand to the full day. </w:t>
      </w:r>
      <w:r>
        <w:rPr>
          <w:rFonts w:ascii="Arial" w:cs="Arial" w:eastAsia="Arial" w:hAnsi="Arial"/>
        </w:rPr>
        <w:t xml:space="preserve">The instantaneous digger count is divided by the correction factor (the fraction of the day’s effort present during the count) to estimate total digger-trips.</w:t>
      </w:r>
    </w:p>
    <w:p>
      <w:pPr>
        <w:pStyle w:val="ListParagraph"/>
        <w:numPr>
          <w:ilvl w:val="0"/>
          <w:numId w:val="2"/>
        </w:numPr>
        <w:spacing w:after="60" w:line="276"/>
      </w:pPr>
      <w:r>
        <w:rPr>
          <w:rFonts w:ascii="Arial" w:cs="Arial" w:eastAsia="Arial" w:hAnsi="Arial"/>
          <w:b/>
          <w:bCs/>
        </w:rPr>
        <w:t xml:space="preserve">Apply catch rate. </w:t>
      </w:r>
      <w:r>
        <w:rPr>
          <w:rFonts w:ascii="Arial" w:cs="Arial" w:eastAsia="Arial" w:hAnsi="Arial"/>
        </w:rPr>
        <w:t xml:space="preserve">Total digger-trips are multiplied by CPUE (clams per digger) from the interviews to get clams harvested.</w:t>
      </w:r>
    </w:p>
    <w:p>
      <w:pPr>
        <w:pStyle w:val="ListParagraph"/>
        <w:numPr>
          <w:ilvl w:val="0"/>
          <w:numId w:val="2"/>
        </w:numPr>
        <w:spacing w:after="60" w:line="276"/>
      </w:pPr>
      <w:r>
        <w:rPr>
          <w:rFonts w:ascii="Arial" w:cs="Arial" w:eastAsia="Arial" w:hAnsi="Arial"/>
          <w:b/>
          <w:bCs/>
        </w:rPr>
        <w:t xml:space="preserve">Add wastage. </w:t>
      </w:r>
      <w:r>
        <w:rPr>
          <w:rFonts w:ascii="Arial" w:cs="Arial" w:eastAsia="Arial" w:hAnsi="Arial"/>
        </w:rPr>
        <w:t xml:space="preserve">A wastage proportion from hole surveys is added.</w:t>
      </w:r>
    </w:p>
    <w:p>
      <w:pPr>
        <w:spacing w:after="140" w:before="0" w:line="276"/>
        <w:jc w:val="left"/>
      </w:pPr>
      <w:r>
        <w:rPr>
          <w:rFonts w:ascii="Arial" w:cs="Arial" w:eastAsia="Arial" w:hAnsi="Arial"/>
        </w:rPr>
        <w:t xml:space="preserve">Daily beach estimates are summed to season totals per beach and compared to the Total Allowable Catch (TAC). When no crew counts a beach, that day is filled in from the beaches that were counted (§4).</w:t>
      </w:r>
    </w:p>
    <w:p>
      <w:pPr>
        <w:pStyle w:val="Heading1"/>
      </w:pPr>
      <w:r>
        <w:rPr>
          <w:rFonts w:ascii="Arial" w:cs="Arial" w:eastAsia="Arial" w:hAnsi="Arial"/>
        </w:rPr>
        <w:t xml:space="preserve">3. Field data collection</w:t>
      </w:r>
    </w:p>
    <w:p>
      <w:pPr>
        <w:spacing w:after="120" w:before="0" w:line="276"/>
        <w:jc w:val="left"/>
      </w:pPr>
      <w:r>
        <w:rPr>
          <w:rFonts w:ascii="Arial" w:cs="Arial" w:eastAsia="Arial" w:hAnsi="Arial"/>
        </w:rPr>
        <w:t xml:space="preserve">WDFW assigns staff, as available, to each of the open management beaches on a dig day. The data below are collected per beach per day; egress surveys are run less frequently.</w:t>
      </w:r>
    </w:p>
    <w:p>
      <w:pPr>
        <w:pStyle w:val="Heading2"/>
      </w:pPr>
      <w:r>
        <w:rPr>
          <w:rFonts w:ascii="Arial" w:cs="Arial" w:eastAsia="Arial" w:hAnsi="Arial"/>
        </w:rPr>
        <w:t xml:space="preserve">3.1 Beach (digger) counts</w:t>
      </w:r>
    </w:p>
    <w:p>
      <w:pPr>
        <w:spacing w:after="120" w:before="0" w:line="276"/>
        <w:jc w:val="left"/>
      </w:pPr>
      <w:r>
        <w:rPr>
          <w:rFonts w:ascii="Arial" w:cs="Arial" w:eastAsia="Arial" w:hAnsi="Arial"/>
        </w:rPr>
        <w:t xml:space="preserve">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pPr>
        <w:pStyle w:val="Heading2"/>
      </w:pPr>
      <w:r>
        <w:rPr>
          <w:rFonts w:ascii="Arial" w:cs="Arial" w:eastAsia="Arial" w:hAnsi="Arial"/>
        </w:rPr>
        <w:t xml:space="preserve">3.2 Harvester interviews (creel)</w:t>
      </w:r>
    </w:p>
    <w:p>
      <w:pPr>
        <w:spacing w:after="120" w:before="0" w:line="276"/>
        <w:jc w:val="left"/>
      </w:pPr>
      <w:r>
        <w:rPr>
          <w:rFonts w:ascii="Arial" w:cs="Arial" w:eastAsia="Arial" w:hAnsi="Arial"/>
        </w:rPr>
        <w:t xml:space="preserve">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pPr>
        <w:pStyle w:val="Heading2"/>
      </w:pPr>
      <w:r>
        <w:rPr>
          <w:rFonts w:ascii="Arial" w:cs="Arial" w:eastAsia="Arial" w:hAnsi="Arial"/>
        </w:rPr>
        <w:t xml:space="preserve">3.3 Egress (ingress/egress) surveys</w:t>
      </w:r>
    </w:p>
    <w:p>
      <w:pPr>
        <w:spacing w:after="120" w:before="0" w:line="276"/>
        <w:jc w:val="left"/>
      </w:pPr>
      <w:r>
        <w:rPr>
          <w:rFonts w:ascii="Arial" w:cs="Arial" w:eastAsia="Arial" w:hAnsi="Arial"/>
        </w:rPr>
        <w:t xml:space="preserve">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(§5).</w:t>
      </w:r>
    </w:p>
    <w:p>
      <w:pPr>
        <w:pStyle w:val="Heading2"/>
      </w:pPr>
      <w:r>
        <w:rPr>
          <w:rFonts w:ascii="Arial" w:cs="Arial" w:eastAsia="Arial" w:hAnsi="Arial"/>
        </w:rPr>
        <w:t xml:space="preserve">3.4 Wastage surveys</w:t>
      </w:r>
    </w:p>
    <w:p>
      <w:pPr>
        <w:spacing w:after="120" w:before="0" w:line="276"/>
        <w:jc w:val="left"/>
      </w:pPr>
      <w:r>
        <w:rPr>
          <w:rFonts w:ascii="Arial" w:cs="Arial" w:eastAsia="Arial" w:hAnsi="Arial"/>
        </w:rPr>
        <w:t xml:space="preserve">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pPr>
        <w:pStyle w:val="Heading2"/>
      </w:pPr>
      <w:r>
        <w:rPr>
          <w:rFonts w:ascii="Arial" w:cs="Arial" w:eastAsia="Arial" w:hAnsi="Arial"/>
        </w:rPr>
        <w:t xml:space="preserve">3.5 Shell-length sampling</w:t>
      </w:r>
    </w:p>
    <w:p>
      <w:pPr>
        <w:spacing w:after="120" w:before="0" w:line="276"/>
        <w:jc w:val="left"/>
      </w:pPr>
      <w:r>
        <w:rPr>
          <w:rFonts w:ascii="Arial" w:cs="Arial" w:eastAsia="Arial" w:hAnsi="Arial"/>
        </w:rPr>
        <w:t xml:space="preserve">When practical, harvested shells are measured. Length data exist for only a minority of dig events (about one sixth in the harvest database) and do not enter the harvest estimate; they support size structure and the separate stock assessment.</w:t>
      </w:r>
    </w:p>
    <w:p>
      <w:pPr>
        <w:pStyle w:val="Heading2"/>
      </w:pPr>
      <w:r>
        <w:rPr>
          <w:rFonts w:ascii="Arial" w:cs="Arial" w:eastAsia="Arial" w:hAnsi="Arial"/>
        </w:rPr>
        <w:t xml:space="preserve">3.6 Conditions and tidal context</w:t>
      </w:r>
    </w:p>
    <w:p>
      <w:pPr>
        <w:spacing w:after="120" w:before="0" w:line="276"/>
        <w:jc w:val="left"/>
      </w:pPr>
      <w:r>
        <w:rPr>
          <w:rFonts w:ascii="Arial" w:cs="Arial" w:eastAsia="Arial" w:hAnsi="Arial"/>
        </w:rPr>
        <w:t xml:space="preserve">Each survey records sky, precipitation, surf, and wind, plus the predicted low-tide time and height. Tide time relative to sunrise and sunset determines whether the dig is a daylight or a near-dark (evening) tide, which in turn selects the expansion table used (§5.2). Surf, precipitation, and wind determine whether a good-weather or poor-weather table applies.</w:t>
      </w:r>
    </w:p>
    <w:p>
      <w:pPr>
        <w:pStyle w:val="Heading1"/>
      </w:pPr>
      <w:r>
        <w:rPr>
          <w:rFonts w:ascii="Arial" w:cs="Arial" w:eastAsia="Arial" w:hAnsi="Arial"/>
        </w:rPr>
        <w:t xml:space="preserve">4. The estimation equations</w:t>
      </w:r>
    </w:p>
    <w:p>
      <w:pPr>
        <w:spacing w:after="120" w:before="0" w:line="276"/>
        <w:jc w:val="left"/>
      </w:pPr>
      <w:r>
        <w:rPr>
          <w:rFonts w:ascii="Arial" w:cs="Arial" w:eastAsia="Arial" w:hAnsi="Arial"/>
        </w:rPr>
        <w:t xml:space="preserve">The equations below are the form actually implemented in the harvest database and validated against its stored daily results; they are the post-2013 corrected method (§6.2). They are stated at three grains: per-event creel rates, per-count expansion, and roll-ups. A note on one symbol convention: </w:t>
      </w:r>
      <w:r>
        <w:rPr>
          <w:rFonts w:ascii="Arial" w:cs="Arial" w:eastAsia="Arial" w:hAnsi="Arial"/>
          <w:i/>
          <w:iCs/>
        </w:rPr>
        <w:t xml:space="preserve">CF</w:t>
      </w:r>
      <w:r>
        <w:rPr>
          <w:rFonts w:ascii="Arial" w:cs="Arial" w:eastAsia="Arial" w:hAnsi="Arial"/>
        </w:rPr>
        <w:t xml:space="preserve"> here is the mean fraction of the day’s effort present during the count,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number near 0.5; effort is recovered by </w:t>
      </w:r>
      <w:r>
        <w:rPr>
          <w:rFonts w:ascii="Arial" w:cs="Arial" w:eastAsia="Arial" w:hAnsi="Arial"/>
          <w:i/>
          <w:iCs/>
        </w:rPr>
        <w:t xml:space="preserve">dividing</w:t>
      </w:r>
      <w:r>
        <w:rPr>
          <w:rFonts w:ascii="Arial" w:cs="Arial" w:eastAsia="Arial" w:hAnsi="Arial"/>
        </w:rPr>
        <w:t xml:space="preserve"> the count by it.</w:t>
      </w:r>
    </w:p>
    <w:p>
      <w:pPr>
        <w:pStyle w:val="Heading2"/>
      </w:pPr>
      <w:r>
        <w:rPr>
          <w:rFonts w:ascii="Arial" w:cs="Arial" w:eastAsia="Arial" w:hAnsi="Arial"/>
        </w:rPr>
        <w:t xml:space="preserve">4.1 Per-event creel rates (pooled over a beach-day’s interviews)</w:t>
      </w:r>
    </w:p>
    <w:p>
      <w:pPr>
        <w:shd w:fill="F2F5F7" w:val="clear"/>
        <w:spacing w:after="120" w:before="120"/>
        <w:jc w:val="center"/>
      </w:pPr>
      <w:r>
        <w:rPr>
          <w:rFonts w:ascii="Arial" w:cs="Arial" w:eastAsia="Arial" w:hAnsi="Arial"/>
          <w:i/>
          <w:iCs/>
        </w:rPr>
        <w:t xml:space="preserve">CPUE</w:t>
      </w:r>
      <w:r>
        <w:rPr>
          <w:rFonts w:ascii="Arial" w:cs="Arial" w:eastAsia="Arial" w:hAnsi="Arial"/>
          <w:i/>
          <w:iCs/>
          <w:vertAlign w:val="subscript"/>
        </w:rPr>
        <w:t xml:space="preserve">e</w:t>
      </w:r>
      <w:r>
        <w:rPr>
          <w:rFonts w:ascii="Arial" w:cs="Arial" w:eastAsia="Arial" w:hAnsi="Arial"/>
        </w:rPr>
        <w:t xml:space="preserve">  =  Σ clamsᵢ  /  Σ diggersᵢ</w:t>
      </w:r>
    </w:p>
    <w:p>
      <w:pPr>
        <w:shd w:fill="F2F5F7" w:val="clear"/>
        <w:spacing w:after="120" w:before="120"/>
        <w:jc w:val="center"/>
      </w:pP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vertAlign w:val="subscript"/>
        </w:rPr>
        <w:t xml:space="preserve">e</w:t>
      </w:r>
      <w:r>
        <w:rPr>
          <w:rFonts w:ascii="Arial" w:cs="Arial" w:eastAsia="Arial" w:hAnsi="Arial"/>
        </w:rPr>
        <w:t xml:space="preserve">  =  Σ diggersᵢ  /  Σ peopleᵢ</w:t>
      </w:r>
    </w:p>
    <w:p>
      <w:pPr>
        <w:shd w:fill="F2F5F7" w:val="clear"/>
        <w:spacing w:after="120" w:before="120"/>
        <w:jc w:val="center"/>
      </w:pP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  mean( people-per-carᵢ )        </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  Σ diggersᵢ  /  Σ lanternsᵢ</w:t>
      </w:r>
    </w:p>
    <w:p>
      <w:pPr>
        <w:spacing w:after="120" w:before="0" w:line="276"/>
        <w:jc w:val="left"/>
      </w:pPr>
      <w:r>
        <w:rPr>
          <w:rFonts w:ascii="Arial" w:cs="Arial" w:eastAsia="Arial" w:hAnsi="Arial"/>
        </w:rPr>
        <w:t xml:space="preserve">where the sum is over interviews </w:t>
      </w:r>
      <w:r>
        <w:rPr>
          <w:rFonts w:ascii="Arial" w:cs="Arial" w:eastAsia="Arial" w:hAnsi="Arial"/>
          <w:i/>
          <w:iCs/>
        </w:rPr>
        <w:t xml:space="preserve">i</w:t>
      </w:r>
      <w:r>
        <w:rPr>
          <w:rFonts w:ascii="Arial" w:cs="Arial" w:eastAsia="Arial" w:hAnsi="Arial"/>
        </w:rPr>
        <w:t xml:space="preserve"> in event </w:t>
      </w:r>
      <w:r>
        <w:rPr>
          <w:rFonts w:ascii="Arial" w:cs="Arial" w:eastAsia="Arial" w:hAnsi="Arial"/>
          <w:i/>
          <w:iCs/>
        </w:rPr>
        <w:t xml:space="preserve">e</w:t>
      </w:r>
      <w:r>
        <w:rPr>
          <w:rFonts w:ascii="Arial" w:cs="Arial" w:eastAsia="Arial" w:hAnsi="Arial"/>
        </w:rPr>
        <w:t xml:space="preserve">. </w:t>
      </w:r>
      <w:r>
        <w:rPr>
          <w:rFonts w:ascii="Arial" w:cs="Arial" w:eastAsia="Arial" w:hAnsi="Arial"/>
          <w:i/>
          <w:iCs/>
        </w:rPr>
        <w:t xml:space="preserve">CPUE</w:t>
      </w:r>
      <w:r>
        <w:rPr>
          <w:rFonts w:ascii="Arial" w:cs="Arial" w:eastAsia="Arial" w:hAnsi="Arial"/>
        </w:rPr>
        <w:t xml:space="preserve"> is catch per digger; (1 − </w:t>
      </w:r>
      <w:r>
        <w:rPr>
          <w:rFonts w:ascii="Arial" w:cs="Arial" w:eastAsia="Arial" w:hAnsi="Arial"/>
          <w:i/>
          <w:iCs/>
        </w:rPr>
        <w:t xml:space="preserve">p</w:t>
      </w:r>
      <w:r>
        <w:rPr>
          <w:rFonts w:ascii="Arial" w:cs="Arial" w:eastAsia="Arial" w:hAnsi="Arial"/>
        </w:rPr>
        <w:t xml:space="preserve">) is the digging fraction; </w:t>
      </w:r>
      <w:r>
        <w:rPr>
          <w:rFonts w:ascii="Arial" w:cs="Arial" w:eastAsia="Arial" w:hAnsi="Arial"/>
          <w:i/>
          <w:iCs/>
        </w:rPr>
        <w:t xml:space="preserve">ppc</w:t>
      </w:r>
      <w:r>
        <w:rPr>
          <w:rFonts w:ascii="Arial" w:cs="Arial" w:eastAsia="Arial" w:hAnsi="Arial"/>
        </w:rPr>
        <w:t xml:space="preserve"> is people per car; </w:t>
      </w:r>
      <w:r>
        <w:rPr>
          <w:rFonts w:ascii="Arial" w:cs="Arial" w:eastAsia="Arial" w:hAnsi="Arial"/>
          <w:i/>
          <w:iCs/>
        </w:rPr>
        <w:t xml:space="preserve">dpl</w:t>
      </w:r>
      <w:r>
        <w:rPr>
          <w:rFonts w:ascii="Arial" w:cs="Arial" w:eastAsia="Arial" w:hAnsi="Arial"/>
        </w:rPr>
        <w:t xml:space="preserve"> is diggers per lantern (night tides).</w:t>
      </w:r>
    </w:p>
    <w:p>
      <w:pPr>
        <w:spacing w:after="120" w:before="0" w:line="276"/>
        <w:jc w:val="left"/>
      </w:pPr>
      <w:r>
        <w:rPr>
          <w:rFonts w:ascii="Arial" w:cs="Arial" w:eastAsia="Arial" w:hAnsi="Arial"/>
          <w:b/>
          <w:bCs/>
        </w:rPr>
        <w:t xml:space="preserve">Field-semantics note: </w:t>
      </w:r>
      <w:r>
        <w:rPr>
          <w:rFonts w:ascii="Arial" w:cs="Arial" w:eastAsia="Arial" w:hAnsi="Arial"/>
        </w:rPr>
        <w:t xml:space="preserve">in the harvest database the interview field that feeds </w:t>
      </w:r>
      <w:r>
        <w:rPr>
          <w:rFonts w:ascii="Arial" w:cs="Arial" w:eastAsia="Arial" w:hAnsi="Arial"/>
          <w:i/>
          <w:iCs/>
        </w:rPr>
        <w:t xml:space="preserve">ppc</w:t>
      </w:r>
      <w:r>
        <w:rPr>
          <w:rFonts w:ascii="Arial" w:cs="Arial" w:eastAsia="Arial" w:hAnsi="Arial"/>
        </w:rPr>
        <w:t xml:space="preserve"> stores people per car, not a vehicle count; its long-run average is the basis of the 2.67 fallback constant below.</w:t>
      </w:r>
    </w:p>
    <w:p>
      <w:pPr>
        <w:pStyle w:val="Heading2"/>
      </w:pPr>
      <w:r>
        <w:rPr>
          <w:rFonts w:ascii="Arial" w:cs="Arial" w:eastAsia="Arial" w:hAnsi="Arial"/>
        </w:rPr>
        <w:t xml:space="preserve">4.2 People present at each count (hierarchical)</w:t>
      </w:r>
    </w:p>
    <w:p>
      <w:pPr>
        <w:spacing w:after="120" w:before="0" w:line="276"/>
        <w:jc w:val="left"/>
      </w:pPr>
      <w:r>
        <w:rPr>
          <w:rFonts w:ascii="Arial" w:cs="Arial" w:eastAsia="Arial" w:hAnsi="Arial"/>
        </w:rPr>
        <w:t xml:space="preserve">A count records people directly when possible; otherwise people are inferred from whatever secondary count was taken, using the event’s own ratios, in this order:</w:t>
      </w:r>
    </w:p>
    <w:p>
      <w:pPr>
        <w:shd w:fill="F2F5F7" w:val="clear"/>
        <w:spacing w:after="120" w:before="120"/>
        <w:jc w:val="center"/>
      </w:pPr>
      <w:r>
        <w:rPr>
          <w:rFonts w:ascii="Arial" w:cs="Arial" w:eastAsia="Arial" w:hAnsi="Arial"/>
          <w:i/>
          <w:iCs/>
        </w:rPr>
        <w:t xml:space="preserve">CalcPeople</w:t>
      </w:r>
      <w:r>
        <w:rPr>
          <w:rFonts w:ascii="Arial" w:cs="Arial" w:eastAsia="Arial" w:hAnsi="Arial"/>
        </w:rPr>
        <w:t xml:space="preserve">  =  NPeople,  else  NCars×</w:t>
      </w:r>
      <w:r>
        <w:rPr>
          <w:rFonts w:ascii="Arial" w:cs="Arial" w:eastAsia="Arial" w:hAnsi="Arial"/>
          <w:i/>
          <w:iCs/>
        </w:rPr>
        <w:t xml:space="preserve">ppc</w:t>
      </w:r>
      <w:r>
        <w:rPr>
          <w:rFonts w:ascii="Arial" w:cs="Arial" w:eastAsia="Arial" w:hAnsi="Arial"/>
          <w:i/>
          <w:iCs/>
          <w:vertAlign w:val="subscript"/>
        </w:rPr>
        <w:t xml:space="preserve">e</w:t>
      </w:r>
      <w:r>
        <w:rPr>
          <w:rFonts w:ascii="Arial" w:cs="Arial" w:eastAsia="Arial" w:hAnsi="Arial"/>
        </w:rPr>
        <w:t xml:space="preserve">,  else  NLanterns×</w:t>
      </w:r>
      <w:r>
        <w:rPr>
          <w:rFonts w:ascii="Arial" w:cs="Arial" w:eastAsia="Arial" w:hAnsi="Arial"/>
          <w:i/>
          <w:iCs/>
        </w:rPr>
        <w:t xml:space="preserve">dpl</w:t>
      </w:r>
      <w:r>
        <w:rPr>
          <w:rFonts w:ascii="Arial" w:cs="Arial" w:eastAsia="Arial" w:hAnsi="Arial"/>
          <w:i/>
          <w:iCs/>
          <w:vertAlign w:val="subscript"/>
        </w:rPr>
        <w:t xml:space="preserve">e</w:t>
      </w:r>
      <w:r>
        <w:rPr>
          <w:rFonts w:ascii="Arial" w:cs="Arial" w:eastAsia="Arial" w:hAnsi="Arial"/>
        </w:rPr>
        <w:t xml:space="preserve">,  else  NCars×2.67</w:t>
      </w:r>
    </w:p>
    <w:p>
      <w:pPr>
        <w:spacing w:after="120" w:before="0" w:line="276"/>
        <w:jc w:val="left"/>
      </w:pPr>
      <w:r>
        <w:rPr>
          <w:rFonts w:ascii="Arial" w:cs="Arial" w:eastAsia="Arial" w:hAnsi="Arial"/>
        </w:rPr>
        <w:t xml:space="preserve">The terminal constant 2.67 is the historical interview-derived average people-per-car, used only when a count has cars but no people or lantern count and the event has no creel-derived people-per-car.</w:t>
      </w:r>
    </w:p>
    <w:p>
      <w:pPr>
        <w:pStyle w:val="Heading2"/>
      </w:pPr>
      <w:r>
        <w:rPr>
          <w:rFonts w:ascii="Arial" w:cs="Arial" w:eastAsia="Arial" w:hAnsi="Arial"/>
        </w:rPr>
        <w:t xml:space="preserve">4.3 Expansion to effort and harvest (per count, then summed)</w:t>
      </w:r>
    </w:p>
    <w:p>
      <w:pPr>
        <w:shd w:fill="F2F5F7" w:val="clear"/>
        <w:spacing w:after="120" w:before="120"/>
        <w:jc w:val="center"/>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(1 − </w:t>
      </w:r>
      <w:r>
        <w:rPr>
          <w:rFonts w:ascii="Arial" w:cs="Arial" w:eastAsia="Arial" w:hAnsi="Arial"/>
          <w:i/>
          <w:iCs/>
        </w:rPr>
        <w:t xml:space="preserve">p</w:t>
      </w:r>
      <w:r>
        <w:rPr>
          <w:rFonts w:ascii="Arial" w:cs="Arial" w:eastAsia="Arial" w:hAnsi="Arial"/>
        </w:rPr>
        <w:t xml:space="preserve">)  /  </w:t>
      </w:r>
      <w:r>
        <w:rPr>
          <w:rFonts w:ascii="Arial" w:cs="Arial" w:eastAsia="Arial" w:hAnsi="Arial"/>
          <w:i/>
          <w:iCs/>
        </w:rPr>
        <w:t xml:space="preserve">CF</w:t>
      </w:r>
    </w:p>
    <w:p>
      <w:pPr>
        <w:shd w:fill="F2F5F7" w:val="clear"/>
        <w:spacing w:after="120" w:before="120"/>
        <w:jc w:val="center"/>
      </w:pPr>
      <w:r>
        <w:rPr>
          <w:rFonts w:ascii="Arial" w:cs="Arial" w:eastAsia="Arial" w:hAnsi="Arial"/>
          <w:i/>
          <w:iCs/>
        </w:rPr>
        <w:t xml:space="preserve">Harvest</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CPUE</w:t>
      </w:r>
    </w:p>
    <w:p>
      <w:pPr>
        <w:spacing w:after="40"/>
      </w:pPr>
      <w:r>
        <w:rPr>
          <w:rFonts w:ascii="Arial" w:cs="Arial" w:eastAsia="Arial" w:hAnsi="Arial"/>
        </w:rPr>
        <w:t xml:space="preserve">where, for each count:</w:t>
      </w:r>
    </w:p>
    <w:p>
      <w:pPr>
        <w:spacing w:after="30"/>
        <w:ind w:left="480"/>
      </w:pP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  =  diggers present at the count = CalcPeople × (1 − p)</w:t>
      </w:r>
    </w:p>
    <w:p>
      <w:pPr>
        <w:spacing w:after="30"/>
        <w:ind w:left="480"/>
      </w:pP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estimated total digger-trips for the beach-day</w:t>
      </w:r>
    </w:p>
    <w:p>
      <w:pPr>
        <w:spacing w:after="30"/>
        <w:ind w:left="480"/>
      </w:pPr>
      <w:r>
        <w:rPr>
          <w:rFonts w:ascii="Arial" w:cs="Arial" w:eastAsia="Arial" w:hAnsi="Arial"/>
          <w:i/>
          <w:iCs/>
        </w:rPr>
        <w:t xml:space="preserve">CF</w:t>
      </w:r>
      <w:r>
        <w:rPr>
          <w:rFonts w:ascii="Arial" w:cs="Arial" w:eastAsia="Arial" w:hAnsi="Arial"/>
        </w:rPr>
        <w:t xml:space="preserve">  =  correction factor = Rₜ, the mean fraction of the day’s effort present during the count window (§5); near 0.5</w:t>
      </w:r>
    </w:p>
    <w:p>
      <w:pPr>
        <w:spacing w:after="120" w:before="0" w:line="276"/>
        <w:jc w:val="left"/>
      </w:pPr>
      <w:r>
        <w:rPr>
          <w:rFonts w:ascii="Arial" w:cs="Arial" w:eastAsia="Arial" w:hAnsi="Arial"/>
        </w:rPr>
        <w:t xml:space="preserve">Counts at the segment grain are expanded independently and summed to the event; events are summed to beach and season.</w:t>
      </w:r>
    </w:p>
    <w:p>
      <w:pPr>
        <w:pStyle w:val="Heading2"/>
      </w:pPr>
      <w:r>
        <w:rPr>
          <w:rFonts w:ascii="Arial" w:cs="Arial" w:eastAsia="Arial" w:hAnsi="Arial"/>
        </w:rPr>
        <w:t xml:space="preserve">4.4 Wastage, sampling intensity, and roll-ups</w:t>
      </w:r>
    </w:p>
    <w:p>
      <w:pPr>
        <w:shd w:fill="F2F5F7" w:val="clear"/>
        <w:spacing w:after="120" w:before="120"/>
        <w:jc w:val="center"/>
      </w:pPr>
      <w:r>
        <w:rPr>
          <w:rFonts w:ascii="Arial" w:cs="Arial" w:eastAsia="Arial" w:hAnsi="Arial"/>
          <w:i/>
          <w:iCs/>
        </w:rPr>
        <w:t xml:space="preserve">WastageRate</w:t>
      </w:r>
      <w:r>
        <w:rPr>
          <w:rFonts w:ascii="Arial" w:cs="Arial" w:eastAsia="Arial" w:hAnsi="Arial"/>
          <w:i/>
          <w:iCs/>
          <w:vertAlign w:val="subscript"/>
        </w:rPr>
        <w:t xml:space="preserve">e</w:t>
      </w:r>
      <w:r>
        <w:rPr>
          <w:rFonts w:ascii="Arial" w:cs="Arial" w:eastAsia="Arial" w:hAnsi="Arial"/>
        </w:rPr>
        <w:t xml:space="preserve">  =  Σ mortalities  /  Σ holes        </w:t>
      </w:r>
      <w:r>
        <w:rPr>
          <w:rFonts w:ascii="Arial" w:cs="Arial" w:eastAsia="Arial" w:hAnsi="Arial"/>
          <w:i/>
          <w:iCs/>
        </w:rPr>
        <w:t xml:space="preserve">H</w:t>
      </w:r>
      <w:r>
        <w:rPr>
          <w:rFonts w:ascii="Arial" w:cs="Arial" w:eastAsia="Arial" w:hAnsi="Arial"/>
          <w:i/>
          <w:iCs/>
          <w:vertAlign w:val="subscript"/>
        </w:rPr>
        <w:t xml:space="preserve">w</w:t>
      </w:r>
      <w:r>
        <w:rPr>
          <w:rFonts w:ascii="Arial" w:cs="Arial" w:eastAsia="Arial" w:hAnsi="Arial"/>
        </w:rPr>
        <w:t xml:space="preserve">  =  Harvest</w:t>
      </w:r>
      <w:r>
        <w:rPr>
          <w:rFonts w:ascii="Arial" w:cs="Arial" w:eastAsia="Arial" w:hAnsi="Arial"/>
          <w:i/>
          <w:iCs/>
          <w:vertAlign w:val="subscript"/>
        </w:rPr>
        <w:t xml:space="preserve">e</w:t>
      </w:r>
      <w:r>
        <w:rPr>
          <w:rFonts w:ascii="Arial" w:cs="Arial" w:eastAsia="Arial" w:hAnsi="Arial"/>
          <w:i/>
          <w:iCs/>
        </w:rPr>
        <w:t xml:space="preserve">  ×  WastageRate</w:t>
      </w:r>
      <w:r>
        <w:rPr>
          <w:rFonts w:ascii="Arial" w:cs="Arial" w:eastAsia="Arial" w:hAnsi="Arial"/>
          <w:i/>
          <w:iCs/>
          <w:vertAlign w:val="subscript"/>
        </w:rPr>
        <w:t xml:space="preserve">e</w:t>
      </w:r>
    </w:p>
    <w:p>
      <w:pPr>
        <w:shd w:fill="F2F5F7" w:val="clear"/>
        <w:spacing w:after="120" w:before="120"/>
        <w:jc w:val="center"/>
      </w:pPr>
      <w:r>
        <w:rPr>
          <w:rFonts w:ascii="Arial" w:cs="Arial" w:eastAsia="Arial" w:hAnsi="Arial"/>
          <w:i/>
          <w:iCs/>
        </w:rPr>
        <w:t xml:space="preserve">H</w:t>
      </w:r>
      <w:r>
        <w:rPr>
          <w:rFonts w:ascii="Arial" w:cs="Arial" w:eastAsia="Arial" w:hAnsi="Arial"/>
          <w:i/>
          <w:iCs/>
          <w:vertAlign w:val="subscript"/>
        </w:rPr>
        <w:t xml:space="preserve">total</w:t>
      </w:r>
      <w:r>
        <w:rPr>
          <w:rFonts w:ascii="Arial" w:cs="Arial" w:eastAsia="Arial" w:hAnsi="Arial"/>
          <w:i/>
          <w:iCs/>
        </w:rPr>
        <w:t xml:space="preserve">  =  Harvest</w:t>
      </w:r>
      <w:r>
        <w:rPr>
          <w:rFonts w:ascii="Arial" w:cs="Arial" w:eastAsia="Arial" w:hAnsi="Arial"/>
          <w:i/>
          <w:iCs/>
          <w:vertAlign w:val="subscript"/>
        </w:rPr>
        <w:t xml:space="preserve">e</w:t>
      </w:r>
      <w:r>
        <w:rPr>
          <w:rFonts w:ascii="Arial" w:cs="Arial" w:eastAsia="Arial" w:hAnsi="Arial"/>
        </w:rPr>
        <w:t xml:space="preserve">  +  </w:t>
      </w:r>
      <w:r>
        <w:rPr>
          <w:rFonts w:ascii="Arial" w:cs="Arial" w:eastAsia="Arial" w:hAnsi="Arial"/>
          <w:i/>
          <w:iCs/>
        </w:rPr>
        <w:t xml:space="preserve">H</w:t>
      </w:r>
      <w:r>
        <w:rPr>
          <w:rFonts w:ascii="Arial" w:cs="Arial" w:eastAsia="Arial" w:hAnsi="Arial"/>
          <w:i/>
          <w:iCs/>
          <w:vertAlign w:val="subscript"/>
        </w:rPr>
        <w:t xml:space="preserve">w</w:t>
      </w:r>
    </w:p>
    <w:p>
      <w:pPr>
        <w:shd w:fill="F2F5F7" w:val="clear"/>
        <w:spacing w:after="120" w:before="120"/>
        <w:jc w:val="center"/>
      </w:pPr>
      <w:r>
        <w:rPr>
          <w:rFonts w:ascii="Arial" w:cs="Arial" w:eastAsia="Arial" w:hAnsi="Arial"/>
        </w:rPr>
        <w:t xml:space="preserve">% interviewed  =  Σ people  /  </w:t>
      </w:r>
      <w:r>
        <w:rPr>
          <w:rFonts w:ascii="Arial" w:cs="Arial" w:eastAsia="Arial" w:hAnsi="Arial"/>
          <w:i/>
          <w:iCs/>
        </w:rPr>
        <w:t xml:space="preserve">E</w:t>
      </w:r>
      <w:r>
        <w:rPr>
          <w:rFonts w:ascii="Arial" w:cs="Arial" w:eastAsia="Arial" w:hAnsi="Arial"/>
          <w:i/>
          <w:iCs/>
          <w:vertAlign w:val="subscript"/>
        </w:rPr>
        <w:t xml:space="preserve">total</w:t>
      </w:r>
    </w:p>
    <w:p>
      <w:pPr>
        <w:spacing w:after="120" w:before="0" w:line="276"/>
        <w:jc w:val="left"/>
      </w:pPr>
      <w:r>
        <w:rPr>
          <w:rFonts w:ascii="Arial" w:cs="Arial" w:eastAsia="Arial" w:hAnsi="Arial"/>
        </w:rPr>
        <w:t xml:space="preserve">Wastage is applied per beach as a cumulative proportion of harvest. Percent interviewed is a sampling-intensity diagnostic, not an input.</w:t>
      </w:r>
    </w:p>
    <w:p>
      <w:pPr>
        <w:pStyle w:val="Heading2"/>
      </w:pPr>
      <w:r>
        <w:rPr>
          <w:rFonts w:ascii="Arial" w:cs="Arial" w:eastAsia="Arial" w:hAnsi="Arial"/>
        </w:rPr>
        <w:t xml:space="preserve">4.5 Days without a count (estimated harvest)</w:t>
      </w:r>
    </w:p>
    <w:p>
      <w:pPr>
        <w:spacing w:after="120" w:before="0" w:line="276"/>
        <w:jc w:val="left"/>
      </w:pPr>
      <w:r>
        <w:rPr>
          <w:rFonts w:ascii="Arial" w:cs="Arial" w:eastAsia="Arial" w:hAnsi="Arial"/>
        </w:rPr>
        <w:t xml:space="preserve">When no crew counts a beach on an open day, that beach-day is estimated from the beaches that were counted, scaled by the missing beach’s share on the most recent counted day. For Twin Harbors on day </w:t>
      </w:r>
      <w:r>
        <w:rPr>
          <w:rFonts w:ascii="Arial" w:cs="Arial" w:eastAsia="Arial" w:hAnsi="Arial"/>
          <w:i/>
          <w:iCs/>
        </w:rPr>
        <w:t xml:space="preserve">x</w:t>
      </w:r>
      <w:r>
        <w:rPr>
          <w:rFonts w:ascii="Arial" w:cs="Arial" w:eastAsia="Arial" w:hAnsi="Arial"/>
        </w:rPr>
        <w:t xml:space="preserve">, for example:</w:t>
      </w:r>
    </w:p>
    <w:p>
      <w:pPr>
        <w:shd w:fill="F2F5F7" w:val="clear"/>
        <w:spacing w:after="120" w:before="120"/>
        <w:jc w:val="center"/>
      </w:pPr>
      <w:r>
        <w:rPr>
          <w:rFonts w:ascii="Arial" w:cs="Arial" w:eastAsia="Arial" w:hAnsi="Arial"/>
          <w:i/>
          <w:iCs/>
        </w:rPr>
        <w:t xml:space="preserve">TH</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LB</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CP</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MC</w:t>
      </w:r>
      <w:r>
        <w:rPr>
          <w:rFonts w:ascii="Arial" w:cs="Arial" w:eastAsia="Arial" w:hAnsi="Arial"/>
          <w:i/>
          <w:iCs/>
          <w:vertAlign w:val="subscript"/>
        </w:rPr>
        <w:t xml:space="preserve">x</w:t>
      </w:r>
      <w:r>
        <w:rPr>
          <w:rFonts w:ascii="Arial" w:cs="Arial" w:eastAsia="Arial" w:hAnsi="Arial"/>
        </w:rPr>
        <w:t xml:space="preserve">) × </w:t>
      </w:r>
      <w:r>
        <w:rPr>
          <w:rFonts w:ascii="Arial" w:cs="Arial" w:eastAsia="Arial" w:hAnsi="Arial"/>
          <w:i/>
          <w:iCs/>
        </w:rPr>
        <w:t xml:space="preserve">TH</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LB</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CP</w:t>
      </w:r>
      <w:r>
        <w:rPr>
          <w:rFonts w:ascii="Arial" w:cs="Arial" w:eastAsia="Arial" w:hAnsi="Arial"/>
          <w:i/>
          <w:iCs/>
          <w:vertAlign w:val="subscript"/>
        </w:rPr>
        <w:t xml:space="preserve">x−1</w:t>
      </w:r>
      <w:r>
        <w:rPr>
          <w:rFonts w:ascii="Arial" w:cs="Arial" w:eastAsia="Arial" w:hAnsi="Arial"/>
        </w:rPr>
        <w:t xml:space="preserve"> + </w:t>
      </w:r>
      <w:r>
        <w:rPr>
          <w:rFonts w:ascii="Arial" w:cs="Arial" w:eastAsia="Arial" w:hAnsi="Arial"/>
          <w:i/>
          <w:iCs/>
        </w:rPr>
        <w:t xml:space="preserve">MC</w:t>
      </w:r>
      <w:r>
        <w:rPr>
          <w:rFonts w:ascii="Arial" w:cs="Arial" w:eastAsia="Arial" w:hAnsi="Arial"/>
          <w:i/>
          <w:iCs/>
          <w:vertAlign w:val="subscript"/>
        </w:rPr>
        <w:t xml:space="preserve">x−1</w:t>
      </w:r>
      <w:r>
        <w:rPr>
          <w:rFonts w:ascii="Arial" w:cs="Arial" w:eastAsia="Arial" w:hAnsi="Arial"/>
        </w:rPr>
        <w:t xml:space="preserve">)</w:t>
      </w:r>
    </w:p>
    <w:p>
      <w:pPr>
        <w:spacing w:after="60" w:before="0" w:line="276"/>
        <w:jc w:val="left"/>
      </w:pPr>
      <w:r>
        <w:rPr>
          <w:rFonts w:ascii="Arial" w:cs="Arial" w:eastAsia="Arial" w:hAnsi="Arial"/>
        </w:rPr>
        <w:t xml:space="preserve">These estimated beach-days are flagged in the season workbooks and should be carried as estimates, not measured values.</w:t>
      </w:r>
    </w:p>
    <w:p>
      <w:pPr>
        <w:pStyle w:val="Heading2"/>
      </w:pPr>
      <w:r>
        <w:rPr>
          <w:rFonts w:ascii="Arial" w:cs="Arial" w:eastAsia="Arial" w:hAnsi="Arial"/>
        </w:rPr>
        <w:t xml:space="preserve">4.6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Symbol</w:t>
            </w:r>
          </w:p>
        </w:tc>
        <w:tc>
          <w:tcPr>
            <w:tcW w:type="dxa" w:w="67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CPUE</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Clams per digger, from interviews (catch per unit effort)</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1 − p</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Digging fraction: interviewed people who were actually digging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ppc, dpl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People per car; diggers per lantern (event-level interview ratios)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CalcPeople</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 present at a count (direct, or inferred from cars/lanterns)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Diggers present at the count = CalcPeople × (1 − p)</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CF = R_t</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Mean fraction of the day’s effort present during the count window (≈ 0.5)</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E_total</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total digger-trips for a beach-day</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H_total</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Total clams harvested including wastage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H_w</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Estimated wasted clams</w:t>
            </w:r>
          </w:p>
        </w:tc>
      </w:tr>
      <w:tr>
        <w:tc>
          <w:tcPr>
            <w:tcW w:type="dxa" w:w="26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w:t>
            </w:r>
          </w:p>
        </w:tc>
        <w:tc>
          <w:tcPr>
            <w:tcW w:type="dxa" w:w="67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Wastage proportion (mortalities / holes)</w:t>
            </w:r>
          </w:p>
        </w:tc>
      </w:tr>
    </w:tbl>
    <w:p>
      <w:pPr>
        <w:pStyle w:val="Heading1"/>
      </w:pPr>
      <w:r>
        <w:rPr>
          <w:rFonts w:ascii="Arial" w:cs="Arial" w:eastAsia="Arial" w:hAnsi="Arial"/>
        </w:rPr>
        <w:t xml:space="preserve">5. The correction factor in depth</w:t>
      </w:r>
    </w:p>
    <w:p>
      <w:pPr>
        <w:pStyle w:val="Heading2"/>
      </w:pPr>
      <w:r>
        <w:rPr>
          <w:rFonts w:ascii="Arial" w:cs="Arial" w:eastAsia="Arial" w:hAnsi="Arial"/>
        </w:rPr>
        <w:t xml:space="preserve">5.1 From egress survey to the “% available” curve</w:t>
      </w:r>
    </w:p>
    <w:p>
      <w:pPr>
        <w:spacing w:after="120" w:before="0" w:line="276"/>
        <w:jc w:val="left"/>
      </w:pPr>
      <w:r>
        <w:rPr>
          <w:rFonts w:ascii="Arial" w:cs="Arial" w:eastAsia="Arial" w:hAnsi="Arial"/>
        </w:rPr>
        <w:t xml:space="preserve">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 available for beach count.” Plotted against time, this is the effort curve. The correction factor for an actual count is the mean of this curve over the fifteen-minute bins the count spanned:</w:t>
      </w:r>
    </w:p>
    <w:p>
      <w:pPr>
        <w:shd w:fill="F2F5F7" w:val="clear"/>
        <w:spacing w:after="120" w:before="120"/>
        <w:jc w:val="center"/>
      </w:pP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  mean of (% available) over the count’s bins</w:t>
      </w:r>
    </w:p>
    <w:p>
      <w:pPr>
        <w:spacing w:after="120" w:before="0" w:line="276"/>
        <w:jc w:val="left"/>
      </w:pPr>
      <w:r>
        <w:rPr>
          <w:rFonts w:ascii="Arial" w:cs="Arial" w:eastAsia="Arial" w:hAnsi="Arial"/>
        </w:rPr>
        <w:t xml:space="preserve">A beach-and-condition expansion table is built by pooling the on and off counts across the relevant surveys before computing the curve. This derivation is exact and reproducible: pooling the survey records in the ingress/egress database reproduces the published 2010–2011 cumulative-ingress tables to three decimals (§6.3).</w:t>
      </w:r>
    </w:p>
    <w:p>
      <w:pPr>
        <w:pStyle w:val="Heading2"/>
      </w:pPr>
      <w:r>
        <w:rPr>
          <w:rFonts w:ascii="Arial" w:cs="Arial" w:eastAsia="Arial" w:hAnsi="Arial"/>
        </w:rPr>
        <w:t xml:space="preserve">5.2 Condition-specific tables and how the condition is chosen</w:t>
      </w:r>
    </w:p>
    <w:p>
      <w:pPr>
        <w:spacing w:after="120" w:before="0" w:line="276"/>
        <w:jc w:val="left"/>
      </w:pPr>
      <w:r>
        <w:rPr>
          <w:rFonts w:ascii="Arial" w:cs="Arial" w:eastAsia="Arial" w:hAnsi="Arial"/>
        </w:rPr>
        <w:t xml:space="preserve">The correction factor is not a single number per beach. Separate tables exist by light condition and by weather, because the effort curve differs between them. Two independent dimensions select the table:</w:t>
      </w:r>
    </w:p>
    <w:p>
      <w:pPr>
        <w:pStyle w:val="ListParagraph"/>
        <w:numPr>
          <w:ilvl w:val="0"/>
          <w:numId w:val="3"/>
        </w:numPr>
        <w:spacing w:after="60" w:line="276"/>
      </w:pPr>
      <w:r>
        <w:rPr>
          <w:rFonts w:ascii="Arial" w:cs="Arial" w:eastAsia="Arial" w:hAnsi="Arial"/>
          <w:b/>
          <w:bCs/>
        </w:rPr>
        <w:t xml:space="preserve">Light. </w:t>
      </w:r>
      <w:r>
        <w:rPr>
          <w:rFonts w:ascii="Arial" w:cs="Arial" w:eastAsia="Arial" w:hAnsi="Arial"/>
        </w:rPr>
        <w:t xml:space="preserve">Daylight versus near-dark (evening), set by the low-tide time relative to sunset and last light. Fall evening tide series use the near-dark/evening table; spring morning series use the daylight table.</w:t>
      </w:r>
    </w:p>
    <w:p>
      <w:pPr>
        <w:pStyle w:val="ListParagraph"/>
        <w:numPr>
          <w:ilvl w:val="0"/>
          <w:numId w:val="3"/>
        </w:numPr>
        <w:spacing w:after="60" w:line="276"/>
      </w:pPr>
      <w:r>
        <w:rPr>
          <w:rFonts w:ascii="Arial" w:cs="Arial" w:eastAsia="Arial" w:hAnsi="Arial"/>
          <w:b/>
          <w:bCs/>
        </w:rPr>
        <w:t xml:space="preserve">Weather. </w:t>
      </w:r>
      <w:r>
        <w:rPr>
          <w:rFonts w:ascii="Arial" w:cs="Arial" w:eastAsia="Arial" w:hAnsi="Arial"/>
        </w:rPr>
        <w:t xml:space="preserve">Good versus poor, set by the recorded surf, precipitation, and wind. High surf, moderate-or-heavier rain, or strong wind select a poor-weather table where one exists.</w:t>
      </w:r>
    </w:p>
    <w:p>
      <w:pPr>
        <w:spacing w:after="120" w:before="0" w:line="276"/>
        <w:jc w:val="left"/>
      </w:pPr>
      <w:r>
        <w:rPr>
          <w:rFonts w:ascii="Arial" w:cs="Arial" w:eastAsia="Arial" w:hAnsi="Arial"/>
        </w:rPr>
        <w:t xml:space="preserve">Night and weather conditions raise the share of effort captured by a single count, so their tables carry higher values than the daylight/good-weather table. In current day-to-day operation, however, the harvest database carries a single reference table per beach (embedded in the Correction Factor form, §6.3), which staff apply with manual judgement for unusual conditions, for example assigning a fixed higher factor on small, slow-digging crowds, rather than switching among separate condition tables. The condition-specific tables (the daylight, near-dark, and poor-weather variants) are best understood as the historical derivation artifacts behind that single working table. A consolidated lookup accompanies this document; it holds the current operational tables extracted from the harvest database form together with the archived 2012–2013 condition tables, by beach, condition, and bin, and records which historical condition tables were never located (Long Beach and Twin Harbors daylight, and all poor-weather variants).</w:t>
      </w:r>
    </w:p>
    <w:p>
      <w:pPr>
        <w:pStyle w:val="Heading2"/>
      </w:pPr>
      <w:r>
        <w:rPr>
          <w:rFonts w:ascii="Arial" w:cs="Arial" w:eastAsia="Arial" w:hAnsi="Arial"/>
        </w:rPr>
        <w:t xml:space="preserve">5.3 Reference count time and timing sensitivity</w:t>
      </w:r>
    </w:p>
    <w:p>
      <w:pPr>
        <w:spacing w:after="120" w:before="0" w:line="276"/>
        <w:jc w:val="left"/>
      </w:pPr>
      <w:r>
        <w:rPr>
          <w:rFonts w:ascii="Arial" w:cs="Arial" w:eastAsia="Arial" w:hAnsi="Arial"/>
        </w:rPr>
        <w:t xml:space="preserve">The standard count is run about one hour before low water at peak effort; a count takes roughly twenty-six to thirty-one minutes, so the correction factor typically averages two adjacent bins. The corrected (divide-by-Rₜ)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pPr>
        <w:pStyle w:val="Heading2"/>
      </w:pPr>
      <w:r>
        <w:rPr>
          <w:rFonts w:ascii="Arial" w:cs="Arial" w:eastAsia="Arial" w:hAnsi="Arial"/>
        </w:rPr>
        <w:t xml:space="preserve">5.4 Beach sub-areas</w:t>
      </w:r>
    </w:p>
    <w:p>
      <w:pPr>
        <w:spacing w:after="120" w:before="0" w:line="276"/>
        <w:jc w:val="left"/>
      </w:pPr>
      <w:r>
        <w:rPr>
          <w:rFonts w:ascii="Arial" w:cs="Arial" w:eastAsia="Arial" w:hAnsi="Arial"/>
        </w:rPr>
        <w:t xml:space="preserve">Long Beach is counted and assigned a correction factor as two sub-areas, north and south, which in recent practice carry the same table values. The other beaches are treated as single units (Kalaloch excepted, §7.5).</w:t>
      </w:r>
    </w:p>
    <w:p>
      <w:pPr>
        <w:pStyle w:val="Heading1"/>
      </w:pPr>
      <w:r>
        <w:rPr>
          <w:rFonts w:ascii="Arial" w:cs="Arial" w:eastAsia="Arial" w:hAnsi="Arial"/>
        </w:rPr>
        <w:t xml:space="preserve">6. Historical evolution of the methodology</w:t>
      </w:r>
    </w:p>
    <w:p>
      <w:pPr>
        <w:pStyle w:val="Heading2"/>
      </w:pPr>
      <w:r>
        <w:rPr>
          <w:rFonts w:ascii="Arial" w:cs="Arial" w:eastAsia="Arial" w:hAnsi="Arial"/>
        </w:rPr>
        <w:t xml:space="preserve">6.1 Origins</w:t>
      </w:r>
    </w:p>
    <w:p>
      <w:pPr>
        <w:spacing w:after="120" w:before="0" w:line="276"/>
        <w:jc w:val="left"/>
      </w:pPr>
      <w:r>
        <w:rPr>
          <w:rFonts w:ascii="Arial" w:cs="Arial" w:eastAsia="Arial" w:hAnsi="Arial"/>
        </w:rPr>
        <w:t xml:space="preserve">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pPr>
        <w:pStyle w:val="Heading2"/>
      </w:pPr>
      <w:r>
        <w:rPr>
          <w:rFonts w:ascii="Arial" w:cs="Arial" w:eastAsia="Arial" w:hAnsi="Arial"/>
        </w:rPr>
        <w:t xml:space="preserve">6.2 The May 2013 correction (the central event)</w:t>
      </w:r>
    </w:p>
    <w:p>
      <w:pPr>
        <w:spacing w:after="120" w:before="0" w:line="276"/>
        <w:jc w:val="left"/>
      </w:pPr>
      <w:r>
        <w:rPr>
          <w:rFonts w:ascii="Arial" w:cs="Arial" w:eastAsia="Arial" w:hAnsi="Arial"/>
        </w:rPr>
        <w:t xml:space="preserve">In May 2013 WDFW discovered that the longtime expansion arithmetic was wrong. The 1987 method computed </w:t>
      </w:r>
      <w:r>
        <w:rPr>
          <w:rFonts w:ascii="Arial" w:cs="Arial" w:eastAsia="Arial" w:hAnsi="Arial"/>
          <w:i/>
          <w:iCs/>
        </w:rPr>
        <w:t xml:space="preserve">CF</w:t>
      </w:r>
      <w:r>
        <w:rPr>
          <w:rFonts w:ascii="Arial" w:cs="Arial" w:eastAsia="Arial" w:hAnsi="Arial"/>
        </w:rPr>
        <w:t xml:space="preserve"> = 1.0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multiplied</w:t>
      </w:r>
      <w:r>
        <w:rPr>
          <w:rFonts w:ascii="Arial" w:cs="Arial" w:eastAsia="Arial" w:hAnsi="Arial"/>
        </w:rPr>
        <w:t xml:space="preserve"> the count by it. The corrected method sets </w:t>
      </w:r>
      <w:r>
        <w:rPr>
          <w:rFonts w:ascii="Arial" w:cs="Arial" w:eastAsia="Arial" w:hAnsi="Arial"/>
          <w:i/>
          <w:iCs/>
        </w:rPr>
        <w:t xml:space="preserve">CF</w:t>
      </w:r>
      <w:r>
        <w:rPr>
          <w:rFonts w:ascii="Arial" w:cs="Arial" w:eastAsia="Arial" w:hAnsi="Arial"/>
        </w:rPr>
        <w:t xml:space="preserve">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and </w:t>
      </w:r>
      <w:r>
        <w:rPr>
          <w:rFonts w:ascii="Arial" w:cs="Arial" w:eastAsia="Arial" w:hAnsi="Arial"/>
          <w:i/>
          <w:iCs/>
        </w:rPr>
        <w:t xml:space="preserve">divides</w:t>
      </w:r>
      <w:r>
        <w:rPr>
          <w:rFonts w:ascii="Arial" w:cs="Arial" w:eastAsia="Arial" w:hAnsi="Arial"/>
        </w:rPr>
        <w:t xml:space="preserve">. For a count taken when about 60% of effort is present, the old method expanded a thousand diggers to 1,330 and the corrected method to 1,583, an underestimate of about 16% under the old method. WDFW re-estimated Copalis and Mocrocks day by day back to the 1997–98 season (sixteen seasons), the period with a solid tribal-harvest record and pumped-area-method population estimates. The stored correction factors in the harvest database, and the equations in §4 of this document, are the corrected form.</w:t>
      </w:r>
    </w:p>
    <w:p>
      <w:pPr>
        <w:spacing w:after="120" w:before="0" w:line="276"/>
        <w:jc w:val="left"/>
      </w:pPr>
      <w:r>
        <w:rPr>
          <w:rFonts w:ascii="Arial" w:cs="Arial" w:eastAsia="Arial" w:hAnsi="Arial"/>
          <w:b/>
          <w:bCs/>
        </w:rPr>
        <w:t xml:space="preserve">Documentation reconciliation. </w:t>
      </w:r>
      <w:r>
        <w:rPr>
          <w:rFonts w:ascii="Arial" w:cs="Arial" w:eastAsia="Arial" w:hAnsi="Arial"/>
        </w:rPr>
        <w:t xml:space="preserve">The prior methodology note expressed the effort equation as </w:t>
      </w:r>
      <w:r>
        <w:rPr>
          <w:rFonts w:ascii="Arial" w:cs="Arial" w:eastAsia="Arial" w:hAnsi="Arial"/>
          <w:i/>
          <w:iCs/>
        </w:rPr>
        <w:t xml:space="preserve">E</w:t>
      </w:r>
      <w:r>
        <w:rPr>
          <w:rFonts w:ascii="Arial" w:cs="Arial" w:eastAsia="Arial" w:hAnsi="Arial"/>
          <w:i/>
          <w:iCs/>
          <w:vertAlign w:val="subscript"/>
        </w:rPr>
        <w:t xml:space="preserve">total</w:t>
      </w:r>
      <w:r>
        <w:rPr>
          <w:rFonts w:ascii="Arial" w:cs="Arial" w:eastAsia="Arial" w:hAnsi="Arial"/>
        </w:rPr>
        <w:t xml:space="preserve"> = </w:t>
      </w:r>
      <w:r>
        <w:rPr>
          <w:rFonts w:ascii="Arial" w:cs="Arial" w:eastAsia="Arial" w:hAnsi="Arial"/>
          <w:i/>
          <w:iCs/>
        </w:rPr>
        <w:t xml:space="preserve">E</w:t>
      </w:r>
      <w:r>
        <w:rPr>
          <w:rFonts w:ascii="Arial" w:cs="Arial" w:eastAsia="Arial" w:hAnsi="Arial"/>
          <w:i/>
          <w:iCs/>
          <w:vertAlign w:val="subscript"/>
        </w:rPr>
        <w:t xml:space="preserve">t</w:t>
      </w:r>
      <w:r>
        <w:rPr>
          <w:rFonts w:ascii="Arial" w:cs="Arial" w:eastAsia="Arial" w:hAnsi="Arial"/>
        </w:rPr>
        <w:t xml:space="preserve">(1 − </w:t>
      </w:r>
      <w:r>
        <w:rPr>
          <w:rFonts w:ascii="Arial" w:cs="Arial" w:eastAsia="Arial" w:hAnsi="Arial"/>
          <w:i/>
          <w:iCs/>
        </w:rPr>
        <w:t xml:space="preserve">p</w:t>
      </w:r>
      <w:r>
        <w:rPr>
          <w:rFonts w:ascii="Arial" w:cs="Arial" w:eastAsia="Arial" w:hAnsi="Arial"/>
        </w:rPr>
        <w:t xml:space="preserve">)(</w:t>
      </w:r>
      <w:r>
        <w:rPr>
          <w:rFonts w:ascii="Arial" w:cs="Arial" w:eastAsia="Arial" w:hAnsi="Arial"/>
          <w:i/>
          <w:iCs/>
        </w:rPr>
        <w:t xml:space="preserve">CF</w:t>
      </w:r>
      <w:r>
        <w:rPr>
          <w:rFonts w:ascii="Arial" w:cs="Arial" w:eastAsia="Arial" w:hAnsi="Arial"/>
        </w:rPr>
        <w:t xml:space="preserve">) with </w:t>
      </w:r>
      <w:r>
        <w:rPr>
          <w:rFonts w:ascii="Arial" w:cs="Arial" w:eastAsia="Arial" w:hAnsi="Arial"/>
          <w:i/>
          <w:iCs/>
        </w:rPr>
        <w:t xml:space="preserve">CF</w:t>
      </w:r>
      <w:r>
        <w:rPr>
          <w:rFonts w:ascii="Arial" w:cs="Arial" w:eastAsia="Arial" w:hAnsi="Arial"/>
        </w:rPr>
        <w:t xml:space="preserve"> = 1 − (</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a multiplicative form that is inconsistent with the corrected divide-by-</w:t>
      </w:r>
      <w:r>
        <w:rPr>
          <w:rFonts w:ascii="Arial" w:cs="Arial" w:eastAsia="Arial" w:hAnsi="Arial"/>
          <w:i/>
          <w:iCs/>
        </w:rPr>
        <w:t xml:space="preserve">R</w:t>
      </w:r>
      <w:r>
        <w:rPr>
          <w:rFonts w:ascii="Arial" w:cs="Arial" w:eastAsia="Arial" w:hAnsi="Arial"/>
          <w:i/>
          <w:iCs/>
          <w:vertAlign w:val="subscript"/>
        </w:rPr>
        <w:t xml:space="preserve">t</w:t>
      </w:r>
      <w:r>
        <w:rPr>
          <w:rFonts w:ascii="Arial" w:cs="Arial" w:eastAsia="Arial" w:hAnsi="Arial"/>
        </w:rPr>
        <w:t xml:space="preserve">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pPr>
        <w:pStyle w:val="Heading2"/>
      </w:pPr>
      <w:r>
        <w:rPr>
          <w:rFonts w:ascii="Arial" w:cs="Arial" w:eastAsia="Arial" w:hAnsi="Arial"/>
        </w:rPr>
        <w:t xml:space="preserve">6.3 Expansion-table version history</w:t>
      </w:r>
    </w:p>
    <w:p>
      <w:pPr>
        <w:spacing w:after="120" w:before="0" w:line="276"/>
        <w:jc w:val="left"/>
      </w:pPr>
      <w:r>
        <w:rPr>
          <w:rFonts w:ascii="Arial" w:cs="Arial" w:eastAsia="Arial" w:hAnsi="Arial"/>
        </w:rPr>
        <w:t xml:space="preserve">Because the tables are pooled from egress surveys, each table is a snapshot of the survey record at the time it was built, then frozen until re-derived. The available files show at least three vintages, and confirm the current tables are newer still: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Vintage</w:t>
            </w:r>
          </w:p>
        </w:tc>
        <w:tc>
          <w:tcPr>
            <w:tcW w:type="dxa" w:w="43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33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1998 origins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Earliest ingress workbooks (Quattro Pro)</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Historical; not the working tables</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2010–2011</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Cumulative-ingress tables dated 11/2010–01/2011</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Reproduced exactly by pooling the ingress database (2004–2011 surveys)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2013</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Tables dated 02/2013–09/2013</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Re-derived with surveys collected 2011–2013; differ from 2010–2011 in the peak window</w:t>
            </w:r>
          </w:p>
        </w:tc>
      </w:tr>
      <w:tr>
        <w:tc>
          <w:tcPr>
            <w:tcW w:type="dxa" w:w="1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Current</w:t>
            </w:r>
          </w:p>
        </w:tc>
        <w:tc>
          <w:tcPr>
            <w:tcW w:type="dxa" w:w="43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One reference table per beach embedded in the harvest database Correction Factor form (Kalaloch has none)</w:t>
            </w:r>
          </w:p>
        </w:tc>
        <w:tc>
          <w:tcPr>
            <w:tcW w:type="dxa" w:w="33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Extracted and matched bin-for-bin to the 2023–2026 CF logs. Twin Harbors is identical to its 2013 table; Long Beach, Copalis, and Mocrocks were refined after 2013 (Long Beach substantially)</w:t>
            </w:r>
          </w:p>
        </w:tc>
      </w:tr>
    </w:tbl>
    <w:p>
      <w:pPr>
        <w:spacing w:after="120" w:before="0" w:line="276"/>
        <w:jc w:val="left"/>
      </w:pPr>
      <w:r>
        <w:rPr>
          <w:rFonts w:ascii="Arial" w:cs="Arial" w:eastAsia="Arial" w:hAnsi="Arial"/>
          <w:b/>
          <w:bCs/>
        </w:rPr>
        <w:t xml:space="preserve">Where the current tables live. </w:t>
      </w:r>
      <w:r>
        <w:rPr>
          <w:rFonts w:ascii="Arial" w:cs="Arial" w:eastAsia="Arial" w:hAnsi="Arial"/>
        </w:rPr>
        <w:t xml:space="preserve">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CF logs: every logged value is a bin of these tables (for example Long Beach 0.519/0.574/0.589/0.556/0.486 and Copalis 0.538/0.541/0.547). A bin-for-bin comparison with the 2013 tables shows Twin Harbors unchanged and Long Beach, Copalis, and Mocrocks refined; the current curves are now included in the consolidated lookup that accompanies this document.</w:t>
      </w:r>
    </w:p>
    <w:p>
      <w:pPr>
        <w:spacing w:after="120" w:before="0" w:line="276"/>
        <w:jc w:val="left"/>
      </w:pPr>
      <w:r>
        <w:rPr>
          <w:rFonts w:ascii="Arial" w:cs="Arial" w:eastAsia="Arial" w:hAnsi="Arial"/>
        </w:rPr>
        <w:t xml:space="preserve">Two residual points. First, the form curves carry no derivation note or date, and the egress surveys behind the post-2013 refinements are not all present in the available files (the survey record for roughly 2012–2021 is sparse), so the current tables cannot yet be independently re-derived or dated from raw surveys. Second, the ingress/egress database remains the authoritative method and early-data source but stops in 2011; it reproduces the 2010–2011 tables exactly and is the right tool for re-deriving and validating any future table version (§10).</w:t>
      </w:r>
    </w:p>
    <w:p>
      <w:pPr>
        <w:pStyle w:val="Heading2"/>
      </w:pPr>
      <w:r>
        <w:rPr>
          <w:rFonts w:ascii="Arial" w:cs="Arial" w:eastAsia="Arial" w:hAnsi="Arial"/>
        </w:rPr>
        <w:t xml:space="preserve">6.4 The 2012–13 move to a variable harvest rate</w:t>
      </w:r>
    </w:p>
    <w:p>
      <w:pPr>
        <w:spacing w:after="120" w:before="0" w:line="276"/>
        <w:jc w:val="left"/>
      </w:pPr>
      <w:r>
        <w:rPr>
          <w:rFonts w:ascii="Arial" w:cs="Arial" w:eastAsia="Arial" w:hAnsi="Arial"/>
        </w:rPr>
        <w:t xml:space="preserve">Beginning in 2012–13, the TAC for the four main beaches has been set with a variable harvest rate rather than a fixed 30%. The rate is scaled by the ratio of the current population (most recent stock assessment) to the highest population on record for that beach, up to a maximum of 40%, allowing more harvest when stocks are strong while building in an automatic rebuilding response when they are weak. This changes the management target against which estimated harvest is compared, not the harvest estimate itself.</w:t>
      </w:r>
    </w:p>
    <w:p>
      <w:pPr>
        <w:pStyle w:val="Heading2"/>
      </w:pPr>
      <w:r>
        <w:rPr>
          <w:rFonts w:ascii="Arial" w:cs="Arial" w:eastAsia="Arial" w:hAnsi="Arial"/>
        </w:rPr>
        <w:t xml:space="preserve">6.5 The 2023–24 standardized correction-factor practice</w:t>
      </w:r>
    </w:p>
    <w:p>
      <w:pPr>
        <w:spacing w:after="120" w:before="0" w:line="276"/>
        <w:jc w:val="left"/>
      </w:pPr>
      <w:r>
        <w:rPr>
          <w:rFonts w:ascii="Arial" w:cs="Arial" w:eastAsia="Arial" w:hAnsi="Arial"/>
        </w:rPr>
        <w:t xml:space="preserve">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from a coefficient of variation of roughly 0.08–0.15 before 2023 to roughly 0.02–0.04 after.</w:t>
      </w:r>
    </w:p>
    <w:p>
      <w:pPr>
        <w:pStyle w:val="Heading1"/>
      </w:pPr>
      <w:r>
        <w:rPr>
          <w:rFonts w:ascii="Arial" w:cs="Arial" w:eastAsia="Arial" w:hAnsi="Arial"/>
        </w:rPr>
        <w:t xml:space="preserve">7. How seasons have differed</w:t>
      </w:r>
    </w:p>
    <w:p>
      <w:pPr>
        <w:pStyle w:val="Heading2"/>
      </w:pPr>
      <w:r>
        <w:rPr>
          <w:rFonts w:ascii="Arial" w:cs="Arial" w:eastAsia="Arial" w:hAnsi="Arial"/>
        </w:rPr>
        <w:t xml:space="preserve">7.1 Harvest-rate regime</w:t>
      </w:r>
    </w:p>
    <w:p>
      <w:pPr>
        <w:spacing w:after="120" w:before="0" w:line="276"/>
        <w:jc w:val="left"/>
      </w:pPr>
      <w:r>
        <w:rPr>
          <w:rFonts w:ascii="Arial" w:cs="Arial" w:eastAsia="Arial" w:hAnsi="Arial"/>
        </w:rPr>
        <w:t xml:space="preserve">Fixed 30% harvest rate through 2011–12; variable rate (up to 40%) from 2012–13 onward (§6.4). The estimate’s machinery is unchanged across this boundary; only the TAC denominator for “share of TAC harvested” changes.</w:t>
      </w:r>
    </w:p>
    <w:p>
      <w:pPr>
        <w:pStyle w:val="Heading2"/>
      </w:pPr>
      <w:r>
        <w:rPr>
          <w:rFonts w:ascii="Arial" w:cs="Arial" w:eastAsia="Arial" w:hAnsi="Arial"/>
        </w:rPr>
        <w:t xml:space="preserve">7.2 Closures and disruptions</w:t>
      </w:r>
    </w:p>
    <w:p>
      <w:pPr>
        <w:spacing w:after="120" w:before="0" w:line="276"/>
        <w:jc w:val="left"/>
      </w:pPr>
      <w:r>
        <w:rPr>
          <w:rFonts w:ascii="Arial" w:cs="Arial" w:eastAsia="Arial" w:hAnsi="Arial"/>
        </w:rPr>
        <w:t xml:space="preserve">Several recent seasons were shortened or partially closed, which truncates effort and harvest independently of stock status and should be remembered when comparing seasons:</w:t>
      </w:r>
    </w:p>
    <w:p>
      <w:pPr>
        <w:pStyle w:val="ListParagraph"/>
        <w:numPr>
          <w:ilvl w:val="0"/>
          <w:numId w:val="3"/>
        </w:numPr>
        <w:spacing w:after="60" w:line="276"/>
      </w:pPr>
      <w:r>
        <w:rPr>
          <w:rFonts w:ascii="Arial" w:cs="Arial" w:eastAsia="Arial" w:hAnsi="Arial"/>
        </w:rPr>
        <w:t xml:space="preserve">2019–20 closed prematurely (COVID-19).</w:t>
      </w:r>
    </w:p>
    <w:p>
      <w:pPr>
        <w:pStyle w:val="ListParagraph"/>
        <w:numPr>
          <w:ilvl w:val="0"/>
          <w:numId w:val="3"/>
        </w:numPr>
        <w:spacing w:after="60" w:line="276"/>
      </w:pPr>
      <w:r>
        <w:rPr>
          <w:rFonts w:ascii="Arial" w:cs="Arial" w:eastAsia="Arial" w:hAnsi="Arial"/>
        </w:rPr>
        <w:t xml:space="preserve">2020–21 partially closed (elevated domoic acid / marine toxin).</w:t>
      </w:r>
    </w:p>
    <w:p>
      <w:pPr>
        <w:pStyle w:val="ListParagraph"/>
        <w:numPr>
          <w:ilvl w:val="0"/>
          <w:numId w:val="3"/>
        </w:numPr>
        <w:spacing w:after="60" w:line="276"/>
      </w:pPr>
      <w:r>
        <w:rPr>
          <w:rFonts w:ascii="Arial" w:cs="Arial" w:eastAsia="Arial" w:hAnsi="Arial"/>
        </w:rPr>
        <w:t xml:space="preserve">2022–23 partially closed (elevated domoic acid).</w:t>
      </w:r>
    </w:p>
    <w:p>
      <w:pPr>
        <w:spacing w:after="120" w:before="0" w:line="276"/>
        <w:jc w:val="left"/>
      </w:pPr>
      <w:r>
        <w:rPr>
          <w:rFonts w:ascii="Arial" w:cs="Arial" w:eastAsia="Arial" w:hAnsi="Arial"/>
        </w:rPr>
        <w:t xml:space="preserve">Marine-toxin closures, and poor weather and surf, also routinely move days between beaches within a season.</w:t>
      </w:r>
    </w:p>
    <w:p>
      <w:pPr>
        <w:pStyle w:val="Heading2"/>
      </w:pPr>
      <w:r>
        <w:rPr>
          <w:rFonts w:ascii="Arial" w:cs="Arial" w:eastAsia="Arial" w:hAnsi="Arial"/>
        </w:rPr>
        <w:t xml:space="preserve">7.3 Effort by season and beach</w:t>
      </w:r>
    </w:p>
    <w:p>
      <w:pPr>
        <w:spacing w:after="120" w:before="0" w:line="276"/>
        <w:jc w:val="left"/>
      </w:pPr>
      <w:r>
        <w:rPr>
          <w:rFonts w:ascii="Arial" w:cs="Arial" w:eastAsia="Arial" w:hAnsi="Arial"/>
        </w:rPr>
        <w:t xml:space="preserve">Digs offered per season vary widely by beach and year; recent program summaries report, for example, totals ranging from the low tens to over a hundred dig-days per beach per season, driven mainly by the TAC and by toxin closures. The per-season, per-beach dig-day tables in the program’s annual summaries are the authoritative record for effort context.</w:t>
      </w:r>
    </w:p>
    <w:p>
      <w:pPr>
        <w:pStyle w:val="Heading2"/>
      </w:pPr>
      <w:r>
        <w:rPr>
          <w:rFonts w:ascii="Arial" w:cs="Arial" w:eastAsia="Arial" w:hAnsi="Arial"/>
        </w:rPr>
        <w:t xml:space="preserve">7.4 Tide series, evening versus morning, and night digs</w:t>
      </w:r>
    </w:p>
    <w:p>
      <w:pPr>
        <w:spacing w:after="120" w:before="0" w:line="276"/>
        <w:jc w:val="left"/>
      </w:pPr>
      <w:r>
        <w:rPr>
          <w:rFonts w:ascii="Arial" w:cs="Arial" w:eastAsia="Arial" w:hAnsi="Arial"/>
        </w:rPr>
        <w:t xml:space="preserve">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(§4.2) and table selection (§5.2).</w:t>
      </w:r>
    </w:p>
    <w:p>
      <w:pPr>
        <w:pStyle w:val="Heading2"/>
      </w:pPr>
      <w:r>
        <w:rPr>
          <w:rFonts w:ascii="Arial" w:cs="Arial" w:eastAsia="Arial" w:hAnsi="Arial"/>
        </w:rPr>
        <w:t xml:space="preserve">7.5 Kalaloch as a special case</w:t>
      </w:r>
    </w:p>
    <w:p>
      <w:pPr>
        <w:spacing w:after="120" w:before="0" w:line="276"/>
        <w:jc w:val="left"/>
      </w:pPr>
      <w:r>
        <w:rPr>
          <w:rFonts w:ascii="Arial" w:cs="Arial" w:eastAsia="Arial" w:hAnsi="Arial"/>
        </w:rPr>
        <w:t xml:space="preserve">Kalaloch is assessed by Olympic National Park staff, has no ingress/egress expansion table in the survey database, and is handled with its own small harvest calculations (separate workbooks and databases). Effort there is comparatively small. Kalaloch totals should not be assumed to follow the four-beach expansion method.</w:t>
      </w:r>
    </w:p>
    <w:p>
      <w:pPr>
        <w:pStyle w:val="Heading1"/>
      </w:pPr>
      <w:r>
        <w:rPr>
          <w:rFonts w:ascii="Arial" w:cs="Arial" w:eastAsia="Arial" w:hAnsi="Arial"/>
        </w:rPr>
        <w:t xml:space="preserve">8. The supporting databases</w:t>
      </w:r>
    </w:p>
    <w:p>
      <w:pPr>
        <w:pStyle w:val="Heading2"/>
      </w:pPr>
      <w:r>
        <w:rPr>
          <w:rFonts w:ascii="Arial" w:cs="Arial" w:eastAsia="Arial" w:hAnsi="Arial"/>
        </w:rPr>
        <w:t xml:space="preserve">8.1 Recreational-harvest (creel) database</w:t>
      </w:r>
    </w:p>
    <w:p>
      <w:pPr>
        <w:spacing w:after="120" w:before="0" w:line="276"/>
        <w:jc w:val="left"/>
      </w:pPr>
      <w:r>
        <w:rPr>
          <w:rFonts w:ascii="Arial" w:cs="Arial" w:eastAsia="Arial" w:hAnsi="Arial"/>
        </w:rPr>
        <w:t xml:space="preserve">A Microsoft Access database (ACE14) holds the counts, interviews, wastage, and lengths, with a parent events table keyed by event and child tables for creel, digger counts, wastage, and length. A numbered query pipeline and a macro implement the estimate. The query chain was recovered and validated to reproduce the stored daily harvest. The per-event correction factor is a stored field on the events table, and the reference expansion tables themselves are embedded in the Correction Factor form (§6.3), filled into each event by a double-click action; this is why the tables do not appear in a table listing. Field and table details are in the harvest-database data dictionary.</w:t>
      </w:r>
    </w:p>
    <w:p>
      <w:pPr>
        <w:pStyle w:val="Heading2"/>
      </w:pPr>
      <w:r>
        <w:rPr>
          <w:rFonts w:ascii="Arial" w:cs="Arial" w:eastAsia="Arial" w:hAnsi="Arial"/>
        </w:rPr>
        <w:t xml:space="preserve">8.2 Ingress/egress survey database</w:t>
      </w:r>
    </w:p>
    <w:p>
      <w:pPr>
        <w:spacing w:after="120" w:before="0" w:line="276"/>
        <w:jc w:val="left"/>
      </w:pPr>
      <w:r>
        <w:rPr>
          <w:rFonts w:ascii="Arial" w:cs="Arial" w:eastAsia="Arial" w:hAnsi="Arial"/>
        </w:rPr>
        <w:t xml:space="preserve">A separate, small Access database holds the egress surveys: an event table (beach, date, tide time, evening flag, conditions, sampler) and two tables of vehicle counts on and off the beach in fifteen-minute bins, plus lookups. It contains twenty surveys spanning 2004–2011 and is the raw source for the “% available” curve and the expansion tables. Details are in the ingress-database data dictionary.</w:t>
      </w:r>
    </w:p>
    <w:p>
      <w:pPr>
        <w:pStyle w:val="Heading2"/>
      </w:pPr>
      <w:r>
        <w:rPr>
          <w:rFonts w:ascii="Arial" w:cs="Arial" w:eastAsia="Arial" w:hAnsi="Arial"/>
        </w:rPr>
        <w:t xml:space="preserve">8.3 Why aggregates are recomputed from raw tables</w:t>
      </w:r>
    </w:p>
    <w:p>
      <w:pPr>
        <w:spacing w:after="120" w:before="0" w:line="276"/>
        <w:jc w:val="left"/>
      </w:pPr>
      <w:r>
        <w:rPr>
          <w:rFonts w:ascii="Arial" w:cs="Arial" w:eastAsia="Arial" w:hAnsi="Arial"/>
        </w:rPr>
        <w:t xml:space="preserve">The stored summary tables in the harvest database carry inflated sum columns: the summary-build query joins interviews to counts, multiplying each interview sum by the number of count rows for the event. The catch-rate ratio is unaffected (numerator and denominator inflate together), which is why the harvest chain still validates, but the stored totals are not usable. All aggregates should be recomputed from the raw tables, with a logged cleaning step.</w:t>
      </w:r>
    </w:p>
    <w:p>
      <w:pPr>
        <w:pStyle w:val="Heading1"/>
      </w:pPr>
      <w:r>
        <w:rPr>
          <w:rFonts w:ascii="Arial" w:cs="Arial" w:eastAsia="Arial" w:hAnsi="Arial"/>
        </w:rPr>
        <w:t xml:space="preserve">9. Data quality and known issues</w:t>
      </w:r>
    </w:p>
    <w:p>
      <w:pPr>
        <w:spacing w:after="120" w:before="0" w:line="276"/>
        <w:jc w:val="left"/>
      </w:pPr>
      <w:r>
        <w:rPr>
          <w:rFonts w:ascii="Arial" w:cs="Arial" w:eastAsia="Arial" w:hAnsi="Arial"/>
        </w:rPr>
        <w:t xml:space="preserve">The following are confirmed in the harvest data and should be handled before any recompute. They are documented in full, with counts, in the harvest-database data dictionary and the effort-expansion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6660"/>
            <w:tcBorders>
              <w:top w:val="single" w:color="BFBFBF" w:sz="1"/>
              <w:left w:val="single" w:color="BFBFBF" w:sz="1"/>
              <w:bottom w:val="single" w:color="BFBFBF" w:sz="1"/>
              <w:right w:val="single" w:color="BFBFBF" w:sz="1"/>
            </w:tcBorders>
            <w:shd w:fill="1F4E5F" w:val="clear"/>
            <w:tcMar>
              <w:top w:type="dxa" w:w="60"/>
              <w:left w:type="dxa" w:w="100"/>
              <w:bottom w:type="dxa" w:w="60"/>
              <w:right w:type="dxa" w:w="100"/>
            </w:tcMar>
          </w:tcPr>
          <w:p>
            <w:r>
              <w:rPr>
                <w:rFonts w:ascii="Arial" w:cs="Arial" w:eastAsia="Arial" w:hAnsi="Arial"/>
                <w:b/>
                <w:bCs/>
                <w:color w:val="FFFFFF"/>
                <w:sz w:val="18"/>
                <w:szCs w:val="18"/>
              </w:rPr>
              <w:t xml:space="preserve">Effect and handling</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Beach-name spellings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Three spellings of Long Beach undercount it by ~36% if grouped raw; normalize to the canonical beach before grouping.</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Duplicate count rows</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Exact-duplicate count rows (whole events entered twice) double-count effort; e.g. they overstate Twin Harbors 2022–23 by ~16%. Remove exact duplicates unconditionally.</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Mis-entered count rows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few per-group records were typed into the count table (cars ≥ people × 2); in this data only one 1994 event. Remove them; they do not create an estimate where interviews are absent.</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People-per-car field</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The interview “cars” field stores people per car, not a vehicle count; misreading it corrupts effort. Treat as people-per-car.</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Impossible values</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A handful of interviews carry impossible clam or people counts (data entry). Cap or nullify the offending value, not the whole interview.</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inflation</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Stored summary sums are inflated by the count-row join (§8.3); recompute from raw.</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No per-count time</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18"/>
                <w:szCs w:val="18"/>
              </w:rPr>
              <w:t xml:space="preserve">Count rows carry no time field, so genuine replicate counts cannot be distinguished from duplicates except by value, nor matched to the correction-factor reference time. Recommend adding a count-time field.</w:t>
            </w:r>
          </w:p>
        </w:tc>
      </w:tr>
      <w:tr>
        <w:tc>
          <w:tcPr>
            <w:tcW w:type="dxa" w:w="270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Out-of-range CF</w:t>
            </w:r>
          </w:p>
        </w:tc>
        <w:tc>
          <w:tcPr>
            <w:tcW w:type="dxa" w:w="6660"/>
            <w:tcBorders>
              <w:top w:val="single" w:color="BFBFBF" w:sz="1"/>
              <w:left w:val="single" w:color="BFBFBF" w:sz="1"/>
              <w:bottom w:val="single" w:color="BFBFBF" w:sz="1"/>
              <w:right w:val="single" w:color="BFBFBF" w:sz="1"/>
            </w:tcBorders>
            <w:shd w:fill="F2F5F7" w:val="clear"/>
            <w:tcMar>
              <w:top w:type="dxa" w:w="60"/>
              <w:left w:type="dxa" w:w="100"/>
              <w:bottom w:type="dxa" w:w="60"/>
              <w:right w:type="dxa" w:w="100"/>
            </w:tcMar>
          </w:tcPr>
          <w:p>
            <w:r>
              <w:rPr>
                <w:rFonts w:ascii="Arial" w:cs="Arial" w:eastAsia="Arial" w:hAnsi="Arial"/>
                <w:sz w:val="18"/>
                <w:szCs w:val="18"/>
              </w:rPr>
              <w:t xml:space="preserve">At least one stored correction factor is outside (0,1] (a value of 2.1); correct to the table value for the count’s timing and condition.</w:t>
            </w:r>
          </w:p>
        </w:tc>
      </w:tr>
    </w:tbl>
    <w:p>
      <w:pPr>
        <w:pStyle w:val="Heading1"/>
      </w:pPr>
      <w:r>
        <w:rPr>
          <w:rFonts w:ascii="Arial" w:cs="Arial" w:eastAsia="Arial" w:hAnsi="Arial"/>
        </w:rPr>
        <w:t xml:space="preserve">10. Outstanding uncertainty and recommendations</w:t>
      </w:r>
    </w:p>
    <w:p>
      <w:pPr>
        <w:pStyle w:val="Heading2"/>
      </w:pPr>
      <w:r>
        <w:rPr>
          <w:rFonts w:ascii="Arial" w:cs="Arial" w:eastAsia="Arial" w:hAnsi="Arial"/>
        </w:rPr>
        <w:t xml:space="preserve">10.1 Uncertainty that is not currently quantified</w:t>
      </w:r>
    </w:p>
    <w:p>
      <w:pPr>
        <w:spacing w:after="120" w:before="0" w:line="276"/>
        <w:jc w:val="left"/>
      </w:pPr>
      <w:r>
        <w:rPr>
          <w:rFonts w:ascii="Arial" w:cs="Arial" w:eastAsia="Arial" w:hAnsi="Arial"/>
        </w:rPr>
        <w:t xml:space="preserve">The published estimate is a point estimate. Every major input is sampled or modeled, and none currently carries a propagated error:</w:t>
      </w:r>
    </w:p>
    <w:p>
      <w:pPr>
        <w:pStyle w:val="ListParagraph"/>
        <w:numPr>
          <w:ilvl w:val="0"/>
          <w:numId w:val="3"/>
        </w:numPr>
        <w:spacing w:after="60" w:line="276"/>
      </w:pPr>
      <w:r>
        <w:rPr>
          <w:rFonts w:ascii="Arial" w:cs="Arial" w:eastAsia="Arial" w:hAnsi="Arial"/>
          <w:b/>
          <w:bCs/>
        </w:rPr>
        <w:t xml:space="preserve">Catch rate and digging fraction </w:t>
      </w:r>
      <w:r>
        <w:rPr>
          <w:rFonts w:ascii="Arial" w:cs="Arial" w:eastAsia="Arial" w:hAnsi="Arial"/>
        </w:rPr>
        <w:t xml:space="preserve">come from a sample of interviews and assume the interviewed groups represent all diggers on the beach-day, with no strong within-event segment or time-of-day gradient.</w:t>
      </w:r>
    </w:p>
    <w:p>
      <w:pPr>
        <w:pStyle w:val="ListParagraph"/>
        <w:numPr>
          <w:ilvl w:val="0"/>
          <w:numId w:val="3"/>
        </w:numPr>
        <w:spacing w:after="60" w:line="276"/>
      </w:pPr>
      <w:r>
        <w:rPr>
          <w:rFonts w:ascii="Arial" w:cs="Arial" w:eastAsia="Arial" w:hAnsi="Arial"/>
          <w:b/>
          <w:bCs/>
        </w:rPr>
        <w:t xml:space="preserve">The correction factor </w:t>
      </w:r>
      <w:r>
        <w:rPr>
          <w:rFonts w:ascii="Arial" w:cs="Arial" w:eastAsia="Arial" w:hAnsi="Arial"/>
        </w:rPr>
        <w:t xml:space="preserve">is calibrated to a single count at a reference point on the effort curve, and the tables pool a limited number of surveys; between-survey and timing variability are not carried through.</w:t>
      </w:r>
    </w:p>
    <w:p>
      <w:pPr>
        <w:pStyle w:val="ListParagraph"/>
        <w:numPr>
          <w:ilvl w:val="0"/>
          <w:numId w:val="3"/>
        </w:numPr>
        <w:spacing w:after="60" w:line="276"/>
      </w:pPr>
      <w:r>
        <w:rPr>
          <w:rFonts w:ascii="Arial" w:cs="Arial" w:eastAsia="Arial" w:hAnsi="Arial"/>
          <w:b/>
          <w:bCs/>
        </w:rPr>
        <w:t xml:space="preserve">People-per-car and diggers-per-lantern fallbacks </w:t>
      </w:r>
      <w:r>
        <w:rPr>
          <w:rFonts w:ascii="Arial" w:cs="Arial" w:eastAsia="Arial" w:hAnsi="Arial"/>
        </w:rPr>
        <w:t xml:space="preserve">substitute event ratios (or the 2.67 constant) whenever a count lacks a direct head count, adding error that is not tracked.</w:t>
      </w:r>
    </w:p>
    <w:p>
      <w:pPr>
        <w:pStyle w:val="ListParagraph"/>
        <w:numPr>
          <w:ilvl w:val="0"/>
          <w:numId w:val="3"/>
        </w:numPr>
        <w:spacing w:after="60" w:line="276"/>
      </w:pPr>
      <w:r>
        <w:rPr>
          <w:rFonts w:ascii="Arial" w:cs="Arial" w:eastAsia="Arial" w:hAnsi="Arial"/>
          <w:b/>
          <w:bCs/>
        </w:rPr>
        <w:t xml:space="preserve">Wastage </w:t>
      </w:r>
      <w:r>
        <w:rPr>
          <w:rFonts w:ascii="Arial" w:cs="Arial" w:eastAsia="Arial" w:hAnsi="Arial"/>
        </w:rPr>
        <w:t xml:space="preserve">is a flat proportion from a subset of feasible surveys, absent on many night and low-effort tides.</w:t>
      </w:r>
    </w:p>
    <w:p>
      <w:pPr>
        <w:spacing w:after="120" w:before="0" w:line="276"/>
        <w:jc w:val="left"/>
      </w:pPr>
      <w:r>
        <w:rPr>
          <w:rFonts w:ascii="Arial" w:cs="Arial" w:eastAsia="Arial" w:hAnsi="Arial"/>
        </w:rPr>
        <w:t xml:space="preserve">A defensible program estimate should ultimately carry an uncertainty band, for example by bootstrapping interviews within event and propagating correction-factor uncertainty from the survey set.</w:t>
      </w:r>
    </w:p>
    <w:p>
      <w:pPr>
        <w:pStyle w:val="Heading2"/>
      </w:pPr>
      <w:r>
        <w:rPr>
          <w:rFonts w:ascii="Arial" w:cs="Arial" w:eastAsia="Arial" w:hAnsi="Arial"/>
        </w:rPr>
        <w:t xml:space="preserve">10.2 Open items on the correction-factor tables</w:t>
      </w:r>
    </w:p>
    <w:p>
      <w:pPr>
        <w:spacing w:after="120" w:before="0" w:line="276"/>
        <w:jc w:val="left"/>
      </w:pPr>
      <w:r>
        <w:rPr>
          <w:rFonts w:ascii="Arial" w:cs="Arial" w:eastAsia="Arial" w:hAnsi="Arial"/>
        </w:rPr>
        <w:t xml:space="preserve">The current operational tables have been located (embedded in the harvest database Correction Factor form, §6.3) and added to the consolidated lookup, so the standing question of “where are the current tables” is resolved. What remains:</w:t>
      </w:r>
    </w:p>
    <w:p>
      <w:pPr>
        <w:pStyle w:val="ListParagraph"/>
        <w:numPr>
          <w:ilvl w:val="0"/>
          <w:numId w:val="2"/>
        </w:numPr>
        <w:spacing w:after="60" w:line="276"/>
      </w:pPr>
      <w:r>
        <w:rPr>
          <w:rFonts w:ascii="Arial" w:cs="Arial" w:eastAsia="Arial" w:hAnsi="Arial"/>
        </w:rPr>
        <w:t xml:space="preserve">Document the derivation and effective date of each current form table, since the curves carry no provenance note, and confirm whether any separate condition-specific tables are still consulted alongside the single per-beach form table.</w:t>
      </w:r>
    </w:p>
    <w:p>
      <w:pPr>
        <w:pStyle w:val="ListParagraph"/>
        <w:numPr>
          <w:ilvl w:val="0"/>
          <w:numId w:val="2"/>
        </w:numPr>
        <w:spacing w:after="60" w:line="276"/>
      </w:pPr>
      <w:r>
        <w:rPr>
          <w:rFonts w:ascii="Arial" w:cs="Arial" w:eastAsia="Arial" w:hAnsi="Arial"/>
        </w:rPr>
        <w:t xml:space="preserve">Recover the egress surveys from roughly 2012–2021 so the post-2013 refinements (Long Beach, Copalis, Mocrocks) can be independently re-derived, validated, and dated; the 2004–2011 database plus the scattered 2013–2015 and 2022–2023 surveys do not yet cover this span.</w:t>
      </w:r>
    </w:p>
    <w:p>
      <w:pPr>
        <w:pStyle w:val="ListParagraph"/>
        <w:numPr>
          <w:ilvl w:val="0"/>
          <w:numId w:val="2"/>
        </w:numPr>
        <w:spacing w:after="60" w:line="276"/>
      </w:pPr>
      <w:r>
        <w:rPr>
          <w:rFonts w:ascii="Arial" w:cs="Arial" w:eastAsia="Arial" w:hAnsi="Arial"/>
        </w:rPr>
        <w:t xml:space="preserve">Move the form curves into a proper, versioned lookup table in the database (or an external controlled file) so they are queryable and auditable rather than embedded as form controls.</w:t>
      </w:r>
    </w:p>
    <w:p>
      <w:pPr>
        <w:pStyle w:val="Heading2"/>
      </w:pPr>
      <w:r>
        <w:rPr>
          <w:rFonts w:ascii="Arial" w:cs="Arial" w:eastAsia="Arial" w:hAnsi="Arial"/>
        </w:rPr>
        <w:t xml:space="preserve">10.3 Open items on the data and method</w:t>
      </w:r>
    </w:p>
    <w:p>
      <w:pPr>
        <w:pStyle w:val="ListParagraph"/>
        <w:numPr>
          <w:ilvl w:val="0"/>
          <w:numId w:val="2"/>
        </w:numPr>
        <w:spacing w:after="60" w:line="276"/>
      </w:pPr>
      <w:r>
        <w:rPr>
          <w:rFonts w:ascii="Arial" w:cs="Arial" w:eastAsia="Arial" w:hAnsi="Arial"/>
        </w:rPr>
        <w:t xml:space="preserve">Add a per-count time field to the count table so replicate counts are distinguishable from duplicates and matchable to the correction-factor reference time.</w:t>
      </w:r>
    </w:p>
    <w:p>
      <w:pPr>
        <w:pStyle w:val="ListParagraph"/>
        <w:numPr>
          <w:ilvl w:val="0"/>
          <w:numId w:val="2"/>
        </w:numPr>
        <w:spacing w:after="60" w:line="276"/>
      </w:pPr>
      <w:r>
        <w:rPr>
          <w:rFonts w:ascii="Arial" w:cs="Arial" w:eastAsia="Arial" w:hAnsi="Arial"/>
        </w:rPr>
        <w:t xml:space="preserve">Confirm the people-estimate precedence (whether a recorded lantern count should ever outrank a recorded car count) and rename the people-per-car field in any new collection.</w:t>
      </w:r>
    </w:p>
    <w:p>
      <w:pPr>
        <w:pStyle w:val="ListParagraph"/>
        <w:numPr>
          <w:ilvl w:val="0"/>
          <w:numId w:val="2"/>
        </w:numPr>
        <w:spacing w:after="60" w:line="276"/>
      </w:pPr>
      <w:r>
        <w:rPr>
          <w:rFonts w:ascii="Arial" w:cs="Arial" w:eastAsia="Arial" w:hAnsi="Arial"/>
        </w:rPr>
        <w:t xml:space="preserve">Decide and document the policy for impossible values and out-of-range correction factors.</w:t>
      </w:r>
    </w:p>
    <w:p>
      <w:pPr>
        <w:pStyle w:val="ListParagraph"/>
        <w:numPr>
          <w:ilvl w:val="0"/>
          <w:numId w:val="2"/>
        </w:numPr>
        <w:spacing w:after="60" w:line="276"/>
      </w:pPr>
      <w:r>
        <w:rPr>
          <w:rFonts w:ascii="Arial" w:cs="Arial" w:eastAsia="Arial" w:hAnsi="Arial"/>
        </w:rPr>
        <w:t xml:space="preserve">Document the Kalaloch calculation explicitly, since it does not follow the four-beach expansion method.</w:t>
      </w:r>
    </w:p>
    <w:p>
      <w:pPr>
        <w:pStyle w:val="Heading1"/>
      </w:pPr>
      <w:r>
        <w:rPr>
          <w:rFonts w:ascii="Arial" w:cs="Arial" w:eastAsia="Arial" w:hAnsi="Arial"/>
        </w:rPr>
        <w:t xml:space="preserve">11. References and companion documents</w:t>
      </w:r>
    </w:p>
    <w:p>
      <w:pPr>
        <w:pStyle w:val="ListParagraph"/>
        <w:numPr>
          <w:ilvl w:val="0"/>
          <w:numId w:val="3"/>
        </w:numPr>
        <w:spacing w:after="60" w:line="276"/>
      </w:pPr>
      <w:r>
        <w:rPr>
          <w:rFonts w:ascii="Arial" w:cs="Arial" w:eastAsia="Arial" w:hAnsi="Arial"/>
        </w:rPr>
        <w:t xml:space="preserve">Ayres, D.L. Re-estimate of State Razor Clam Harvest Totals. WDFW memorandum, Region Six / Coastal Shellfish, 29 August 2013 (with re-estimation workbook). Primary source for the 2013 correction and the corrected expansion equation.</w:t>
      </w:r>
    </w:p>
    <w:p>
      <w:pPr>
        <w:pStyle w:val="ListParagraph"/>
        <w:numPr>
          <w:ilvl w:val="0"/>
          <w:numId w:val="3"/>
        </w:numPr>
        <w:spacing w:after="60" w:line="276"/>
      </w:pPr>
      <w:r>
        <w:rPr>
          <w:rFonts w:ascii="Arial" w:cs="Arial" w:eastAsia="Arial" w:hAnsi="Arial"/>
        </w:rPr>
        <w:t xml:space="preserve">WDFW recreational razor clam season-summary presentation (digs by season; seasonal value; closure notes for 2019–20, 2020–21, 2022–23).</w:t>
      </w:r>
    </w:p>
    <w:p>
      <w:pPr>
        <w:pStyle w:val="ListParagraph"/>
        <w:numPr>
          <w:ilvl w:val="0"/>
          <w:numId w:val="3"/>
        </w:numPr>
        <w:spacing w:after="60" w:line="276"/>
      </w:pPr>
      <w:r>
        <w:rPr>
          <w:rFonts w:ascii="Arial" w:cs="Arial" w:eastAsia="Arial" w:hAnsi="Arial"/>
        </w:rPr>
        <w:t xml:space="preserve">Berry-Powell et al. 2023. Pacific razor clam stock assessment by the pumped-area method. Journal of Shellfish Research 42(1):91–98. Companion population/TAC method.</w:t>
      </w:r>
    </w:p>
    <w:p>
      <w:pPr>
        <w:pStyle w:val="ListParagraph"/>
        <w:numPr>
          <w:ilvl w:val="0"/>
          <w:numId w:val="3"/>
        </w:numPr>
        <w:spacing w:after="60" w:line="276"/>
      </w:pPr>
      <w:r>
        <w:rPr>
          <w:rFonts w:ascii="Arial" w:cs="Arial" w:eastAsia="Arial" w:hAnsi="Arial"/>
        </w:rPr>
        <w:t xml:space="preserve">Companion working documents (this project): harvest-database data dictionary; ingress/egress database data dictionary; effort-expansion protocol; consolidated correction-factor expansion-table lookup.</w:t>
      </w:r>
    </w:p>
    <w:p>
      <w:pPr>
        <w:pBdr>
          <w:top w:val="single" w:color="BFBFBF" w:sz="4" w:space="1"/>
        </w:pBdr>
        <w:spacing w:before="200"/>
      </w:pPr>
      <w:r>
        <w:rPr>
          <w:rFonts w:ascii="Arial" w:cs="Arial" w:eastAsia="Arial" w:hAnsi="Arial"/>
          <w:i/>
          <w:iCs/>
          <w:color w:val="555555"/>
          <w:sz w:val="18"/>
          <w:szCs w:val="18"/>
        </w:rPr>
        <w:t xml:space="preserve">Compiled as a working reference. Equations validated against the harvest-database implementation; historical and table-version statements are drawn from the program documents and survey records cited above. Items marked open in §10 could not be confirmed from the records available at the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WDFW Coastal Shellfish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Razor Clam Harvest Estimation — Methodology, History, and Uncertainty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C2" w:sz="4" w:space="2"/>
      </w:pBdr>
      <w:spacing w:after="140" w:before="280"/>
      <w:outlineLvl w:val="0"/>
    </w:pPr>
    <w:rPr>
      <w:rFonts w:ascii="Arial" w:cs="Arial" w:eastAsia="Arial" w:hAnsi="Arial"/>
      <w:b/>
      <w:bCs/>
      <w:color w:val="1F4E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73"/>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and Outstanding Uncertainty</dc:title>
  <dc:creator>WDFW Coastal Shellfish</dc:creator>
  <cp:lastModifiedBy>Un-named</cp:lastModifiedBy>
  <cp:revision>1</cp:revision>
  <dcterms:created xsi:type="dcterms:W3CDTF">2026-06-28T05:04:05.059Z</dcterms:created>
  <dcterms:modified xsi:type="dcterms:W3CDTF">2026-06-28T05:04:05.071Z</dcterms:modified>
</cp:coreProperties>
</file>

<file path=docProps/custom.xml><?xml version="1.0" encoding="utf-8"?>
<Properties xmlns="http://schemas.openxmlformats.org/officeDocument/2006/custom-properties" xmlns:vt="http://schemas.openxmlformats.org/officeDocument/2006/docPropsVTypes"/>
</file>