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62.png" ContentType="image/png"/>
  <Override PartName="/word/media/rId71.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11a9973ae976aefd6cec6f5fdbee5e3538f1c26"/>
    <w:p>
      <w:pPr>
        <w:pStyle w:val="Heading1"/>
      </w:pPr>
      <w:r>
        <w:t xml:space="preserve">Survey timing, shared trends and selection bias in environment–recruitment analyses: a cohort-aligned re-analysis of Pacific razor clam (</w:t>
      </w:r>
      <w:r>
        <w:rPr>
          <w:iCs/>
          <w:i/>
        </w:rPr>
        <w:t xml:space="preserve">Siliqua patula</w:t>
      </w:r>
      <w:r>
        <w:t xml:space="preserve">) recruitment on the Washington coast, 1997–2024</w:t>
      </w:r>
    </w:p>
    <w:p>
      <w:pPr>
        <w:pStyle w:val="FirstParagraph"/>
      </w:pPr>
      <w:r>
        <w:rPr>
          <w:bCs/>
          <w:b/>
        </w:rPr>
        <w:t xml:space="preserve">Draft v0.1, 2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analysed 28 years (1997–2024) of stock-assessment abundance estimates for Pacific razor clams (</w:t>
      </w:r>
      <w:r>
        <w:rPr>
          <w:iCs/>
          <w:i/>
        </w:rPr>
        <w:t xml:space="preserve">Siliqua patula</w:t>
      </w:r>
      <w:r>
        <w:t xml:space="preserve">) at five Washington management beaches, together with 218,101 shell-length measurements, upwelling indices (BEUTI, CUTI), regional sea-surface temperature, Columbia River discharge and the Pacific Decadal Oscillation.</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Pre-specified tests.</w:t>
      </w:r>
      <w:r>
        <w:t xml:space="preserve"> </w:t>
      </w:r>
      <w:r>
        <w:t xml:space="preserve">Of five cohort-aligned predictors, only larval-season upwelling (BEUTI, May–Aug) was associated with year-class strength after multiplicity correction. The association was negative: −0.58 SD per SD in a coastwide index (Holm-adjusted p = 0.013). It was concentrated at interannual frequencies, sensitive to one year (2008) and to the vintage of the index (Holm p = 0.052 on the re-issued 2026 record), and it had negligible forecast skill.</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We ask three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if any, pre-specified, mechanistically motivated predictors are associated with year-class strength, and do they forecast it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but are not modelled here (see Discussion).</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files downloaded before April 2025 (record to 2025-04). The index authors re-issue the whole record when the underlying reanalysis is updated; the vintage served in September 2026 differs throughout (daily r = 0.94), and its effect on our results is reported in Section 3.4</w:t>
            </w:r>
          </w:p>
        </w:tc>
      </w:tr>
      <w:tr>
        <w:tc>
          <w:tcPr/>
          <w:p>
            <w:pPr>
              <w:pStyle w:val="Compact"/>
              <w:jc w:val="left"/>
            </w:pPr>
            <w:r>
              <w:t xml:space="preserve">Columbia River discharge</w:t>
            </w:r>
          </w:p>
        </w:tc>
        <w:tc>
          <w:tcPr/>
          <w:p>
            <w:pPr>
              <w:pStyle w:val="Compact"/>
              <w:jc w:val="left"/>
            </w:pPr>
            <w:r>
              <w:t xml:space="preserve">Daily mean discharge at The Dalles, USGS 14105700; lower-river gauges (Port Westward 14246900, Willamette 14211720) were used only to check it (Supplement S6)</w:t>
            </w:r>
          </w:p>
        </w:tc>
      </w:tr>
      <w:tr>
        <w:tc>
          <w:tcPr/>
          <w:p>
            <w:pPr>
              <w:pStyle w:val="Compact"/>
              <w:jc w:val="left"/>
            </w:pPr>
            <w:r>
              <w:t xml:space="preserve">PDO</w:t>
            </w:r>
          </w:p>
        </w:tc>
        <w:tc>
          <w:tcPr/>
          <w:p>
            <w:pPr>
              <w:pStyle w:val="Compact"/>
              <w:jc w:val="left"/>
            </w:pPr>
            <w:r>
              <w:t xml:space="preserve">Monthly index, NCEI ERSST v5 (cached copy; the current NCEI and NOAA PSL versions differ from it by up to 1 unit in single months, r = 0.98, with no effect on the results, Section 3.4)</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From the hourly winds of the same six buoys we computed alongshore wind stress (Large and Pond drag; coastline 10° east of north) and offshore Ekman transport, homogenised across stations in the same way, and from their wave records the mean of Hs² and the share of hours with Hs &gt; 4 m. These were used only to check BEUTI and CUTI and the first-winter hypothesis, not as predictors (Supplement S6).</w:t>
      </w:r>
    </w:p>
    <w:bookmarkEnd w:id="24"/>
    <w:bookmarkStart w:id="25" w:name="pre-specified-predictors"/>
    <w:p>
      <w:pPr>
        <w:pStyle w:val="Heading3"/>
      </w:pPr>
      <w:r>
        <w:t xml:space="preserve">2.4 Pre-specified predictors</w:t>
      </w:r>
    </w:p>
    <w:p>
      <w:pPr>
        <w:pStyle w:val="FirstParagraph"/>
      </w:pP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w:t>
      </w:r>
    </w:p>
    <w:p>
      <w:pPr>
        <w:pStyle w:val="BodyText"/>
      </w:pPr>
      <w:r>
        <w:rPr>
          <w:bCs/>
          <w:b/>
        </w:rPr>
        <w:t xml:space="preserve">Table 1.</w:t>
      </w:r>
      <w:r>
        <w:t xml:space="preserve"> </w:t>
      </w:r>
      <w:r>
        <w:t xml:space="preserve">Pre-specified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8"/>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8"/>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8"/>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8"/>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09"/>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09"/>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09"/>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09"/>
        </w:numPr>
      </w:pPr>
      <w:r>
        <w:rPr>
          <w:iCs/>
          <w:i/>
        </w:rPr>
        <w:t xml:space="preserve">Sensitivity analyses:</w:t>
      </w:r>
    </w:p>
    <w:p>
      <w:pPr>
        <w:numPr>
          <w:ilvl w:val="1"/>
          <w:numId w:val="1010"/>
        </w:numPr>
        <w:pStyle w:val="Compact"/>
      </w:pPr>
      <w:r>
        <w:t xml:space="preserve">no trend term;</w:t>
      </w:r>
    </w:p>
    <w:p>
      <w:pPr>
        <w:numPr>
          <w:ilvl w:val="1"/>
          <w:numId w:val="1010"/>
        </w:numPr>
        <w:pStyle w:val="Compact"/>
      </w:pPr>
      <w:r>
        <w:t xml:space="preserve">excluding Kalaloch;</w:t>
      </w:r>
    </w:p>
    <w:p>
      <w:pPr>
        <w:numPr>
          <w:ilvl w:val="1"/>
          <w:numId w:val="1010"/>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0"/>
        </w:numPr>
        <w:pStyle w:val="Compact"/>
      </w:pPr>
      <w:r>
        <w:t xml:space="preserve">beach-specific GLS-AR(1) models;</w:t>
      </w:r>
    </w:p>
    <w:p>
      <w:pPr>
        <w:numPr>
          <w:ilvl w:val="1"/>
          <w:numId w:val="1010"/>
        </w:numPr>
        <w:pStyle w:val="Compact"/>
      </w:pPr>
      <w:r>
        <w:t xml:space="preserve">all five predictors in one model.</w:t>
      </w:r>
    </w:p>
    <w:p>
      <w:pPr>
        <w:numPr>
          <w:ilvl w:val="0"/>
          <w:numId w:val="1009"/>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Exploratory window scan.</w:t>
      </w:r>
    </w:p>
    <w:p>
      <w:pPr>
        <w:numPr>
          <w:ilvl w:val="0"/>
          <w:numId w:val="1011"/>
        </w:numPr>
        <w:pStyle w:val="Compact"/>
      </w:pPr>
      <w:r>
        <w:rPr>
          <w:iCs/>
          <w:i/>
        </w:rPr>
        <w:t xml:space="preserve">Scan.</w:t>
      </w:r>
      <w:r>
        <w:t xml:space="preserve"> </w:t>
      </w:r>
      <w:r>
        <w:t xml:space="preserve">To ask whether a data-driven search would have found anything beyond the pre-specified windows, we scanned all windows of 1–4 consecutive months from January of Y−1 to June of the response survey year: 570 windows for pre-recruits and 810 for recruits, across five variables. Each window was correlated with the detrended coastwide index.</w:t>
      </w:r>
    </w:p>
    <w:p>
      <w:pPr>
        <w:numPr>
          <w:ilvl w:val="0"/>
          <w:numId w:val="1011"/>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2"/>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2"/>
        </w:numPr>
        <w:pStyle w:val="Compact"/>
      </w:pPr>
      <w:r>
        <w:rPr>
          <w:iCs/>
          <w:i/>
        </w:rPr>
        <w:t xml:space="preserve">Skill score.</w:t>
      </w:r>
      <w:r>
        <w:t xml:space="preserve"> </w:t>
      </w:r>
      <w:r>
        <w:t xml:space="preserve">SS = 1 − MSE_model / MSE_climatology, where climatology is the training-period mean.</w:t>
      </w:r>
    </w:p>
    <w:p>
      <w:pPr>
        <w:numPr>
          <w:ilvl w:val="0"/>
          <w:numId w:val="1012"/>
        </w:numPr>
        <w:pStyle w:val="Compact"/>
      </w:pPr>
      <w:r>
        <w:rPr>
          <w:iCs/>
          <w:i/>
        </w:rPr>
        <w:t xml:space="preserve">Models compared, original framework</w:t>
      </w:r>
      <w:r>
        <w:t xml:space="preserve"> </w:t>
      </w:r>
      <w:r>
        <w:t xml:space="preserve">(response = log abundance at survey t):</w:t>
      </w:r>
    </w:p>
    <w:p>
      <w:pPr>
        <w:numPr>
          <w:ilvl w:val="1"/>
          <w:numId w:val="1013"/>
        </w:numPr>
        <w:pStyle w:val="Compact"/>
      </w:pPr>
      <w:r>
        <w:t xml:space="preserve">persistence;</w:t>
      </w:r>
    </w:p>
    <w:p>
      <w:pPr>
        <w:numPr>
          <w:ilvl w:val="1"/>
          <w:numId w:val="1013"/>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3"/>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3"/>
        </w:numPr>
        <w:pStyle w:val="Compact"/>
      </w:pPr>
      <w:r>
        <w:t xml:space="preserve">for recruits, a stock carry-over model, log recruits(t) ~ log pre-recruits(t−1) + log recruits(t−1), with no environmental data.</w:t>
      </w:r>
    </w:p>
    <w:p>
      <w:pPr>
        <w:numPr>
          <w:ilvl w:val="0"/>
          <w:numId w:val="1012"/>
        </w:numPr>
        <w:pStyle w:val="Compact"/>
      </w:pPr>
      <w:r>
        <w:rPr>
          <w:iCs/>
          <w:i/>
        </w:rPr>
        <w:t xml:space="preserve">Models compared, year-class framework:</w:t>
      </w:r>
      <w:r>
        <w:t xml:space="preserve"> </w:t>
      </w:r>
      <w:r>
        <w:t xml:space="preserve">trend only, BEUTI only, and trend + BEUTI.</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1.5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4"/>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4"/>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5"/>
        </w:numPr>
        <w:pStyle w:val="Compact"/>
      </w:pPr>
      <w:r>
        <w:t xml:space="preserve">Log recruits increased at Mocrocks (4.0% per year, GLS-AR(1) p = 0.001), Copalis (4.6%, p = 0.002) and Twin Harbors (2.4%, p = 0.008), and possibly Long Beach (4.0%, p = 0.06).</w:t>
      </w:r>
    </w:p>
    <w:p>
      <w:pPr>
        <w:numPr>
          <w:ilvl w:val="1"/>
          <w:numId w:val="1015"/>
        </w:numPr>
        <w:pStyle w:val="Compact"/>
      </w:pPr>
      <w:r>
        <w:t xml:space="preserve">Pre-recruits showed no trend except a decline at Twin Harbors (−3.9% per year, p = 0.006).</w:t>
      </w:r>
    </w:p>
    <w:p>
      <w:pPr>
        <w:numPr>
          <w:ilvl w:val="1"/>
          <w:numId w:val="1015"/>
        </w:numPr>
        <w:pStyle w:val="Compact"/>
      </w:pPr>
      <w:r>
        <w:t xml:space="preserve">Among predictors, BEUTI (May–Aug) increased strongly (correlation with year 0.70). At 47°N the May–Aug mean rose from 0.18 ± 0.21 in 1988–1998 to 2.14 ± 0.63 in 2011–2024 (mean ± SD of annual values), whereas CUTI changed much less relative to its variability (0.15 ± 0.06 to 0.28 ± 0.08).</w:t>
      </w:r>
    </w:p>
    <w:p>
      <w:pPr>
        <w:numPr>
          <w:ilvl w:val="0"/>
          <w:numId w:val="1014"/>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6"/>
        </w:numPr>
        <w:pStyle w:val="Compact"/>
      </w:pPr>
      <w:r>
        <w:t xml:space="preserve">Recruits were synchronous among the four southern beaches: mean pairwise r = 0.67, or 0.51 after detrending.</w:t>
      </w:r>
    </w:p>
    <w:p>
      <w:pPr>
        <w:numPr>
          <w:ilvl w:val="1"/>
          <w:numId w:val="1016"/>
        </w:numPr>
        <w:pStyle w:val="Compact"/>
      </w:pPr>
      <w:r>
        <w:t xml:space="preserve">Pre-recruits were only weakly synchronous: 0.30, or 0.35 detrended.</w:t>
      </w:r>
    </w:p>
    <w:p>
      <w:pPr>
        <w:numPr>
          <w:ilvl w:val="1"/>
          <w:numId w:val="1016"/>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7"/>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7"/>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7"/>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18"/>
        </w:numPr>
        <w:pStyle w:val="Compact"/>
      </w:pPr>
      <w:r>
        <w:t xml:space="preserve">Log pre-recruits at survey t were correlated with log recruits at survey t+1 at Kalaloch (r = 0.51, p = 0.006), Mocrocks (0.50, p = 0.008), Copalis (0.58, p = 0.002) and Long Beach (0.50, p = 0.009).</w:t>
      </w:r>
    </w:p>
    <w:p>
      <w:pPr>
        <w:numPr>
          <w:ilvl w:val="1"/>
          <w:numId w:val="1018"/>
        </w:numPr>
        <w:pStyle w:val="Compact"/>
      </w:pPr>
      <w:r>
        <w:t xml:space="preserve">There was no such link at Twin Harbors (−0.16, p = 0.43), where August pre-recruit counts mix new settlers with year-old clams.</w:t>
      </w:r>
    </w:p>
    <w:p>
      <w:pPr>
        <w:numPr>
          <w:ilvl w:val="1"/>
          <w:numId w:val="1018"/>
        </w:numPr>
        <w:pStyle w:val="Compact"/>
      </w:pPr>
      <w:r>
        <w:t xml:space="preserve">Same-year correlations between pre-recruits and recruits were weak (−0.24 to 0.40).</w:t>
      </w:r>
    </w:p>
    <w:bookmarkEnd w:id="29"/>
    <w:bookmarkStart w:id="30" w:name="Xc8f7ec8bee59a50061f34a8470e9e4fddfedf7d"/>
    <w:p>
      <w:pPr>
        <w:pStyle w:val="Heading3"/>
      </w:pPr>
      <w:r>
        <w:t xml:space="preserve">3.3 Exhaustive screening is compatible with chance</w:t>
      </w:r>
    </w:p>
    <w:p>
      <w:pPr>
        <w:numPr>
          <w:ilvl w:val="0"/>
          <w:numId w:val="1019"/>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19"/>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19"/>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19"/>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0"/>
        </w:numPr>
        <w:pStyle w:val="Compact"/>
      </w:pPr>
      <w:r>
        <w:t xml:space="preserve">Copalis recruits × BEUTI (Jul–Aug, lag 4): r = 0.59 → 0.02.</w:t>
      </w:r>
    </w:p>
    <w:p>
      <w:pPr>
        <w:numPr>
          <w:ilvl w:val="1"/>
          <w:numId w:val="1020"/>
        </w:numPr>
        <w:pStyle w:val="Compact"/>
      </w:pPr>
      <w:r>
        <w:t xml:space="preserve">Mocrocks recruits × BEUTI (Jun–Jul, lag 5): r = 0.74 → 0.44.</w:t>
      </w:r>
    </w:p>
    <w:p>
      <w:pPr>
        <w:numPr>
          <w:ilvl w:val="1"/>
          <w:numId w:val="1020"/>
        </w:numPr>
        <w:pStyle w:val="Compact"/>
      </w:pPr>
      <w:r>
        <w:t xml:space="preserve">Long Beach recruits × BEUTI (Jun–Jul, lag 5): r = 0.57 → 0.33.</w:t>
      </w:r>
    </w:p>
    <w:p>
      <w:pPr>
        <w:numPr>
          <w:ilvl w:val="1"/>
          <w:numId w:val="1020"/>
        </w:numPr>
        <w:pStyle w:val="Compact"/>
      </w:pPr>
      <w:r>
        <w:t xml:space="preserve">Nine of the ten predictors selected for pre-recruits had lags of 2–5 years, implausible for clams that are about one year old.</w:t>
      </w:r>
    </w:p>
    <w:bookmarkEnd w:id="30"/>
    <w:bookmarkStart w:id="31" w:name="pre-specified-cohort-aligned-predictors"/>
    <w:p>
      <w:pPr>
        <w:pStyle w:val="Heading3"/>
      </w:pPr>
      <w:r>
        <w:t xml:space="preserve">3.4 Pre-specified,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1"/>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2"/>
        </w:numPr>
        <w:pStyle w:val="Compact"/>
      </w:pPr>
      <w:r>
        <w:t xml:space="preserve">All five beaches: −0.34 log units per SD (95% CI −0.66 to −0.01; LRT p = 0.052; Holm p = 0.47).</w:t>
      </w:r>
    </w:p>
    <w:p>
      <w:pPr>
        <w:numPr>
          <w:ilvl w:val="1"/>
          <w:numId w:val="1022"/>
        </w:numPr>
        <w:pStyle w:val="Compact"/>
      </w:pPr>
      <w:r>
        <w:t xml:space="preserve">Excluding Kalaloch: −0.49 (−0.79 to −0.18; p = 0.003; Holm p = 0.031).</w:t>
      </w:r>
    </w:p>
    <w:p>
      <w:pPr>
        <w:numPr>
          <w:ilvl w:val="1"/>
          <w:numId w:val="1022"/>
        </w:numPr>
        <w:pStyle w:val="Compact"/>
      </w:pPr>
      <w:r>
        <w:t xml:space="preserve">Coastwide index (GLS-AR(1)): −0.58 ± 0.16 SD per SD (p = 0.001; Holm p = 0.013).</w:t>
      </w:r>
    </w:p>
    <w:p>
      <w:pPr>
        <w:numPr>
          <w:ilvl w:val="0"/>
          <w:numId w:val="1021"/>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−0.59 (p = 0.001), Copalis −0.56 (p = 0.007), Long Beach −1.22 (p = 0.044), Twin Harbors −0.12 (p = 0.44), Kalaloch −0.23 (p = 0.60).</w:t>
      </w:r>
    </w:p>
    <w:p>
      <w:pPr>
        <w:numPr>
          <w:ilvl w:val="0"/>
          <w:numId w:val="1021"/>
        </w:numPr>
        <w:pStyle w:val="Compact"/>
      </w:pPr>
      <w:r>
        <w:rPr>
          <w:bCs/>
          <w:b/>
        </w:rPr>
        <w:t xml:space="preserve">No other predictor approached significance:</w:t>
      </w:r>
      <w:r>
        <w:t xml:space="preserve"> </w:t>
      </w:r>
      <w:r>
        <w:t xml:space="preserve">SST anomaly, PDO, freshet discharge and winter CUTI all had p ≥ 0.47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3"/>
        </w:numPr>
        <w:pStyle w:val="Compact"/>
      </w:pPr>
      <w:r>
        <w:rPr>
          <w:iCs/>
          <w:i/>
        </w:rPr>
        <w:t xml:space="preserve">Detrending method.</w:t>
      </w:r>
      <w:r>
        <w:t xml:space="preserve"> </w:t>
      </w:r>
      <w:r>
        <w:t xml:space="preserve">It held under loess detrending (r = −0.44, p = 0.023) and first differences (slope −0.58, p &lt; 0.001). It was weaker when only a linear trend was removed by ordinary least squares (−0.37, p = 0.033). The association is therefore expressed mainly at interannual rather than decadal frequencies.</w:t>
      </w:r>
    </w:p>
    <w:p>
      <w:pPr>
        <w:numPr>
          <w:ilvl w:val="0"/>
          <w:numId w:val="1023"/>
        </w:numPr>
        <w:pStyle w:val="Compact"/>
      </w:pPr>
      <w:r>
        <w:rPr>
          <w:iCs/>
          <w:i/>
        </w:rPr>
        <w:t xml:space="preserve">Influential year.</w:t>
      </w:r>
      <w:r>
        <w:t xml:space="preserve"> </w:t>
      </w:r>
      <w:r>
        <w:t xml:space="preserve">All leave-one-year-out estimates were negative (−0.26 to −0.43). However, removing 2008, the year with the highest BEUTI and a weak year class at several beaches, reduced the estimate to −0.25 (p = 0.20).</w:t>
      </w:r>
    </w:p>
    <w:p>
      <w:pPr>
        <w:numPr>
          <w:ilvl w:val="0"/>
          <w:numId w:val="1023"/>
        </w:numPr>
        <w:pStyle w:val="Compact"/>
      </w:pPr>
      <w:r>
        <w:rPr>
          <w:iCs/>
          <w:i/>
        </w:rPr>
        <w:t xml:space="preserve">Without the trend term.</w:t>
      </w:r>
      <w:r>
        <w:t xml:space="preserve"> </w:t>
      </w:r>
      <w:r>
        <w:t xml:space="preserve">The pooled estimate was −0.17 (p = 0.21), because BEUTI and year are strongly correlated.</w:t>
      </w:r>
    </w:p>
    <w:p>
      <w:pPr>
        <w:numPr>
          <w:ilvl w:val="0"/>
          <w:numId w:val="1023"/>
        </w:numPr>
        <w:pStyle w:val="Compact"/>
      </w:pPr>
      <w:r>
        <w:rPr>
          <w:iCs/>
          <w:i/>
        </w:rPr>
        <w:t xml:space="preserve">CUTI analogue.</w:t>
      </w:r>
      <w:r>
        <w:t xml:space="preserve"> </w:t>
      </w:r>
      <w:r>
        <w:t xml:space="preserve">CUTI over the same window showed the same sign but a weaker association (linear −0.14, p = 0.32; first differences −0.33, p = 0.029).</w:t>
      </w:r>
    </w:p>
    <w:p>
      <w:pPr>
        <w:numPr>
          <w:ilvl w:val="0"/>
          <w:numId w:val="1023"/>
        </w:numPr>
        <w:pStyle w:val="Compact"/>
      </w:pPr>
      <w:r>
        <w:rPr>
          <w:iCs/>
          <w:i/>
        </w:rPr>
        <w:t xml:space="preserve">Index vintage.</w:t>
      </w:r>
      <w:r>
        <w:t xml:space="preserve"> </w:t>
      </w:r>
      <w:r>
        <w:t xml:space="preserve">The BEUTI/CUTI record served by the index authors in September 2026 differs from the vintage used here throughout the record (daily r = 0.94; May–Aug 47°N annual means r = 0.94). Refitting every pre-specified test on that vintage with the same year classes left the BEUTI association’s sign and size unchanged but reduced its precision: coastwide index −0.62 ± 0.20 (p = 0.005, Holm 0.052); pooled LMM −0.31 (p = 0.11); without Kalaloch −0.45 (Holm 0.14); first differences −0.70 (p &lt; 0.001); 2003 onward −0.50 (p = 0.025) [</w:t>
      </w:r>
      <w:r>
        <w:rPr>
          <w:rStyle w:val="VerbatimChar"/>
        </w:rPr>
        <w:t xml:space="preserve">env_index_vintage_effects.csv</w:t>
      </w:r>
      <w:r>
        <w:t xml:space="preserve">; full rerun summarised in</w:t>
      </w:r>
      <w:r>
        <w:t xml:space="preserve"> </w:t>
      </w:r>
      <w:r>
        <w:rPr>
          <w:rStyle w:val="VerbatimChar"/>
        </w:rPr>
        <w:t xml:space="preserve">docs/environmental-record-options.md</w:t>
      </w:r>
      <w:r>
        <w:t xml:space="preserve"> </w:t>
      </w:r>
      <w:r>
        <w:t xml:space="preserve">§6.1]. The null results for CUTI (winter) and the PDO held under both vintages and under both current PDO sources.</w:t>
      </w:r>
    </w:p>
    <w:p>
      <w:pPr>
        <w:pStyle w:val="FirstParagraph"/>
      </w:pPr>
      <w:r>
        <w:rPr>
          <w:bCs/>
          <w:b/>
        </w:rPr>
        <w:t xml:space="preserve">Recruits (year class Y at survey Y+2):</w:t>
      </w:r>
    </w:p>
    <w:p>
      <w:pPr>
        <w:numPr>
          <w:ilvl w:val="0"/>
          <w:numId w:val="1024"/>
        </w:numPr>
        <w:pStyle w:val="Compact"/>
      </w:pPr>
      <w:r>
        <w:t xml:space="preserve">Only freshet discharge (Apr–Jun Y) was nominally associated: +0.18 log units per SD (0.05–0.32; p = 0.011; Holm p = 0.11), coastwide +0.30 ± 0.12 (p = 0.015; Holm p = 0.13).</w:t>
      </w:r>
    </w:p>
    <w:p>
      <w:pPr>
        <w:numPr>
          <w:ilvl w:val="0"/>
          <w:numId w:val="1024"/>
        </w:numPr>
        <w:pStyle w:val="Compact"/>
      </w:pPr>
      <w:r>
        <w:t xml:space="preserve">The association weakened when Kalaloch was excluded (+0.10, p = 0.12).</w:t>
      </w:r>
    </w:p>
    <w:p>
      <w:pPr>
        <w:numPr>
          <w:ilvl w:val="0"/>
          <w:numId w:val="1024"/>
        </w:numPr>
        <w:pStyle w:val="Compact"/>
      </w:pPr>
      <w:r>
        <w:t xml:space="preserve">In the full model with all five predictors, the estimates were similar: BEUTI −0.46 (t = −1.96) for pre-recruits and discharge +0.21 (t = 2.82) for recruits [</w:t>
      </w:r>
      <w:r>
        <w:rPr>
          <w:rStyle w:val="VerbatimChar"/>
        </w:rPr>
        <w:t xml:space="preserve">confirmatory_full_model.csv</w:t>
      </w:r>
      <w:r>
        <w:t xml:space="preserve">].</w:t>
      </w:r>
    </w:p>
    <w:p>
      <w:pPr>
        <w:pStyle w:val="FirstParagraph"/>
      </w:pPr>
      <w:r>
        <w:rPr>
          <w:bCs/>
          <w:b/>
        </w:rPr>
        <w:t xml:space="preserve">Table 2.</w:t>
      </w:r>
      <w:r>
        <w:t xml:space="preserve"> </w:t>
      </w:r>
      <w:r>
        <w:t xml:space="preserve">Pre-specified predictors of pre-recruit abundance of year class Y at survey Y+1. Effects per 1 SD of predictor (95% CI); pooled models in log units, coastwide index in index SD. Holm adjustment across 5 predictors × 2 responses.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−0.34 (−0.66, −0.01); p = 0.052; Holm 0.47</w:t>
            </w:r>
          </w:p>
        </w:tc>
        <w:tc>
          <w:tcPr/>
          <w:p>
            <w:pPr>
              <w:pStyle w:val="Compact"/>
              <w:jc w:val="left"/>
            </w:pPr>
            <w:r>
              <w:t xml:space="preserve">−0.49 (−0.79, −0.18); p = 0.003; Holm 0.031</w:t>
            </w:r>
          </w:p>
        </w:tc>
        <w:tc>
          <w:tcPr/>
          <w:p>
            <w:pPr>
              <w:pStyle w:val="Compact"/>
              <w:jc w:val="left"/>
            </w:pPr>
            <w:r>
              <w:t xml:space="preserve">−0.58 ± 0.16; p = 0.001; Holm 0.013</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−0.03 (−0.31, 0.25); p = 0.83</w:t>
            </w:r>
          </w:p>
        </w:tc>
        <w:tc>
          <w:tcPr/>
          <w:p>
            <w:pPr>
              <w:pStyle w:val="Compact"/>
              <w:jc w:val="left"/>
            </w:pPr>
            <w:r>
              <w:t xml:space="preserve">−0.11 (−0.38, 0.17); p = 0.45</w:t>
            </w:r>
          </w:p>
        </w:tc>
        <w:tc>
          <w:tcPr/>
          <w:p>
            <w:pPr>
              <w:pStyle w:val="Compact"/>
              <w:jc w:val="left"/>
            </w:pPr>
            <w:r>
              <w:t xml:space="preserve">−0.08 ± 0.14; p = 0.58</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+0.10 (−0.17, 0.36); p = 0.47</w:t>
            </w:r>
          </w:p>
        </w:tc>
        <w:tc>
          <w:tcPr/>
          <w:p>
            <w:pPr>
              <w:pStyle w:val="Compact"/>
              <w:jc w:val="left"/>
            </w:pPr>
            <w:r>
              <w:t xml:space="preserve">−0.02 (−0.27, 0.23); p = 0.86</w:t>
            </w:r>
          </w:p>
        </w:tc>
        <w:tc>
          <w:tcPr/>
          <w:p>
            <w:pPr>
              <w:pStyle w:val="Compact"/>
              <w:jc w:val="left"/>
            </w:pPr>
            <w:r>
              <w:t xml:space="preserve">+0.12 ± 0.17; p = 0.51</w:t>
            </w:r>
          </w:p>
        </w:tc>
      </w:tr>
    </w:tbl>
    <w:bookmarkEnd w:id="31"/>
    <w:bookmarkStart w:id="32" w:name="exploratory-window-scan"/>
    <w:p>
      <w:pPr>
        <w:pStyle w:val="Heading3"/>
      </w:pPr>
      <w:r>
        <w:t xml:space="preserve">3.5 Exploratory window scan</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Response</w:t>
            </w:r>
          </w:p>
        </w:tc>
        <w:tc>
          <w:tcPr/>
          <w:p>
            <w:pPr>
              <w:pStyle w:val="Compact"/>
              <w:jc w:val="left"/>
            </w:pPr>
            <w:r>
              <w:t xml:space="preserve">Windows tested</w:t>
            </w:r>
          </w:p>
        </w:tc>
        <w:tc>
          <w:tcPr/>
          <w:p>
            <w:pPr>
              <w:pStyle w:val="Compact"/>
              <w:jc w:val="left"/>
            </w:pPr>
            <w:r>
              <w:t xml:space="preserve">Nominal p &lt; 0.05</w:t>
            </w:r>
          </w:p>
        </w:tc>
        <w:tc>
          <w:tcPr/>
          <w:p>
            <w:pPr>
              <w:pStyle w:val="Compact"/>
              <w:jc w:val="left"/>
            </w:pPr>
            <w:r>
              <w:t xml:space="preserve">95th percentile of null max|r|</w:t>
            </w:r>
          </w:p>
        </w:tc>
      </w:tr>
      <w:tr>
        <w:tc>
          <w:tcPr/>
          <w:p>
            <w:pPr>
              <w:pStyle w:val="Compact"/>
              <w:jc w:val="left"/>
            </w:pPr>
            <w:r>
              <w:t xml:space="preserve">Pre-recruits</w:t>
            </w:r>
          </w:p>
        </w:tc>
        <w:tc>
          <w:tcPr/>
          <w:p>
            <w:pPr>
              <w:pStyle w:val="Compact"/>
              <w:jc w:val="left"/>
            </w:pPr>
            <w:r>
              <w:t xml:space="preserve">570</w:t>
            </w:r>
          </w:p>
        </w:tc>
        <w:tc>
          <w:tcPr/>
          <w:p>
            <w:pPr>
              <w:pStyle w:val="Compact"/>
              <w:jc w:val="left"/>
            </w:pPr>
            <w:r>
              <w:t xml:space="preserve">24</w:t>
            </w:r>
          </w:p>
        </w:tc>
        <w:tc>
          <w:tcPr/>
          <w:p>
            <w:pPr>
              <w:pStyle w:val="Compact"/>
              <w:jc w:val="left"/>
            </w:pPr>
            <w:r>
              <w:t xml:space="preserve">0.64</w:t>
            </w:r>
          </w:p>
        </w:tc>
      </w:tr>
      <w:tr>
        <w:tc>
          <w:tcPr/>
          <w:p>
            <w:pPr>
              <w:pStyle w:val="Compact"/>
              <w:jc w:val="left"/>
            </w:pPr>
            <w:r>
              <w:t xml:space="preserve">Recruits</w:t>
            </w:r>
          </w:p>
        </w:tc>
        <w:tc>
          <w:tcPr/>
          <w:p>
            <w:pPr>
              <w:pStyle w:val="Compact"/>
              <w:jc w:val="left"/>
            </w:pPr>
            <w:r>
              <w:t xml:space="preserve">810</w:t>
            </w:r>
          </w:p>
        </w:tc>
        <w:tc>
          <w:tcPr/>
          <w:p>
            <w:pPr>
              <w:pStyle w:val="Compact"/>
              <w:jc w:val="left"/>
            </w:pPr>
            <w:r>
              <w:t xml:space="preserve">69</w:t>
            </w:r>
          </w:p>
        </w:tc>
        <w:tc>
          <w:tcPr/>
          <w:p>
            <w:pPr>
              <w:pStyle w:val="Compact"/>
              <w:jc w:val="left"/>
            </w:pPr>
            <w:r>
              <w:t xml:space="preserve">0.69</w:t>
            </w:r>
          </w:p>
        </w:tc>
      </w:tr>
    </w:tbl>
    <w:p>
      <w:pPr>
        <w:numPr>
          <w:ilvl w:val="0"/>
          <w:numId w:val="1025"/>
        </w:numPr>
        <w:pStyle w:val="Compact"/>
      </w:pPr>
      <w:r>
        <w:rPr>
          <w:bCs/>
          <w:b/>
        </w:rPr>
        <w:t xml:space="preserve">The pre-specified BEUTI window</w:t>
      </w:r>
      <w:r>
        <w:t xml:space="preserve"> </w:t>
      </w:r>
      <w:r>
        <w:t xml:space="preserve">(May–Aug Y) had detrended r = −0.42 within this scan. A window of opposite sign in the preceding year was the strongest BEUTI window (Apr–Jul Y−1, r = +0.48, family-wise p = 0.73). Detrended BEUTI is weakly negatively autocorrelated, so these two windows cannot be separated.</w:t>
      </w:r>
    </w:p>
    <w:p>
      <w:pPr>
        <w:numPr>
          <w:ilvl w:val="0"/>
          <w:numId w:val="1025"/>
        </w:numPr>
        <w:pStyle w:val="Compact"/>
      </w:pPr>
      <w:r>
        <w:rPr>
          <w:bCs/>
          <w:b/>
        </w:rPr>
        <w:t xml:space="preserve">The strongest correlation in the recruit scan</w:t>
      </w:r>
      <w:r>
        <w:t xml:space="preserve"> </w:t>
      </w:r>
      <w:r>
        <w:t xml:space="preserve">was with discharge in March of the survey year (r = −0.56, family-wise p = 0.57). This echoes the</w:t>
      </w:r>
      <w:r>
        <w:t xml:space="preserve"> </w:t>
      </w:r>
      <w:r>
        <w:t xml:space="preserve">“</w:t>
      </w:r>
      <w:r>
        <w:t xml:space="preserve">spring discharge, lag 0</w:t>
      </w:r>
      <w:r>
        <w:t xml:space="preserve">”</w:t>
      </w:r>
      <w:r>
        <w:t xml:space="preserve"> </w:t>
      </w:r>
      <w:r>
        <w:t xml:space="preserve">predictor selected by the original analysis at two beaches.</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6"/>
        </w:numPr>
        <w:pStyle w:val="Compact"/>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6"/>
        </w:numPr>
        <w:pStyle w:val="Compact"/>
      </w:pPr>
      <w:r>
        <w:rPr>
          <w:bCs/>
          <w:b/>
        </w:rPr>
        <w:t xml:space="preserve">Persistence</w:t>
      </w:r>
      <w:r>
        <w:t xml:space="preserve"> </w:t>
      </w:r>
      <w:r>
        <w:t xml:space="preserve">performed poorly for pre-recruits (−1.08), consistent with their lack of autocorrelation.</w:t>
      </w:r>
    </w:p>
    <w:p>
      <w:pPr>
        <w:numPr>
          <w:ilvl w:val="0"/>
          <w:numId w:val="1026"/>
        </w:numPr>
        <w:pStyle w:val="Compact"/>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6"/>
        </w:numPr>
        <w:pStyle w:val="Compact"/>
      </w:pPr>
      <w:r>
        <w:rPr>
          <w:bCs/>
          <w:b/>
        </w:rPr>
        <w:t xml:space="preserve">The pre-specified BEUTI model</w:t>
      </w:r>
      <w:r>
        <w:t xml:space="preserve"> </w:t>
      </w:r>
      <w:r>
        <w:t xml:space="preserve">had essentially no skill for year-class pre-recruits overall (trend + BEUTI −0.03; BEUTI alone −0.05). Skill was positive at Mocrocks (+0.20), Copalis (+0.17) and Long Beach (+0.08) and negative at Kalaloch (−0.15).</w:t>
      </w:r>
    </w:p>
    <w:p>
      <w:pPr>
        <w:pStyle w:val="FirstParagraph"/>
      </w:pPr>
      <w:r>
        <w:rPr>
          <w:bCs/>
          <w:b/>
        </w:rPr>
        <w:t xml:space="preserve">Table 3.</w:t>
      </w:r>
      <w:r>
        <w:t xml:space="preserve"> </w:t>
      </w:r>
      <w:r>
        <w:t xml:space="preserve">Rolling-origin forecast skill relative to climatology (survey years 2011–2024; 70 forecasts per row).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 + BEUTI (pre-specified)</w:t>
            </w:r>
          </w:p>
        </w:tc>
        <w:tc>
          <w:tcPr/>
          <w:p>
            <w:pPr>
              <w:pStyle w:val="Compact"/>
              <w:jc w:val="left"/>
            </w:pPr>
            <w:r>
              <w:t xml:space="preserve">−0.03</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Three conclusions follow.</w:t>
      </w:r>
    </w:p>
    <w:p>
      <w:pPr>
        <w:numPr>
          <w:ilvl w:val="0"/>
          <w:numId w:val="1027"/>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7"/>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7"/>
        </w:numPr>
        <w:pStyle w:val="Compact"/>
      </w:pPr>
      <w:r>
        <w:rPr>
          <w:bCs/>
          <w:b/>
        </w:rPr>
        <w:t xml:space="preserve">What survives.</w:t>
      </w:r>
      <w:r>
        <w:t xml:space="preserve"> </w:t>
      </w:r>
      <w:r>
        <w:t xml:space="preserve">A pre-specified,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The positive screen results were artefacts of a shared trend, since both BEUTI and recruit abundance increased over the period.</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28"/>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28"/>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28"/>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(2008), and adds little forecast skill. We therefore regard it as a hypothesis to be tested with independent data, not as an established driver. Survey years 2025–2027 provide the first such test; forecasts for 2025 are archived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tenfold over the record, far more than CUTI relative to its variability, implying a large increase in the nitrate concentration of upwelled water. Measured buoy winds reproduce CUTI’s interannual variation (r = 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In the vintage we used there is no level shift at the 2010/2011 boundary of the underlying reanalysis; in the vintage served in September 2026 there is one at 47°N (+1.1 units after trend, p = 0.02)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are not affected by a smooth trend artefact; the vintage sensitivity (Section 3.4) shows that the association survives the revision with the same sign and size but reduced precision.</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Environmental indices may still help forecast pre-recruit abundance (one year earlier), but our results suggest any gain will be small.</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29"/>
        </w:numPr>
        <w:pStyle w:val="Compact"/>
      </w:pPr>
      <w:r>
        <w:rPr>
          <w:bCs/>
          <w:b/>
        </w:rPr>
        <w:t xml:space="preserve">Size classes are not ages.</w:t>
      </w:r>
      <w:r>
        <w:t xml:space="preserve"> </w:t>
      </w:r>
      <w:r>
        <w:t xml:space="preserve">The 76 mm boundary splits the age-1 cohort at late surveys, so environmental effects on growth can appear as effects on abundance. Date-aware length-mixture models could separate cohorts objectively.</w:t>
      </w:r>
    </w:p>
    <w:p>
      <w:pPr>
        <w:numPr>
          <w:ilvl w:val="0"/>
          <w:numId w:val="1029"/>
        </w:numPr>
        <w:pStyle w:val="Compact"/>
      </w:pPr>
      <w:r>
        <w:rPr>
          <w:bCs/>
          <w:b/>
        </w:rPr>
        <w:t xml:space="preserve">Observation error.</w:t>
      </w:r>
      <w:r>
        <w:t xml:space="preserve"> </w:t>
      </w:r>
      <w:r>
        <w:t xml:space="preserve">We did not have the sampling variance of each abundance estimate. Process and observation error should be separated in a state-space model once variances are obtained from WDFW.</w:t>
      </w:r>
      <w:r>
        <w:t xml:space="preserve"> </w:t>
      </w:r>
      <w:r>
        <w:rPr>
          <w:bCs/>
          <w:b/>
        </w:rPr>
        <w:t xml:space="preserve">TODO.</w:t>
      </w:r>
    </w:p>
    <w:p>
      <w:pPr>
        <w:numPr>
          <w:ilvl w:val="0"/>
          <w:numId w:val="1029"/>
        </w:numPr>
        <w:pStyle w:val="Compact"/>
      </w:pPr>
      <w:r>
        <w:rPr>
          <w:bCs/>
          <w:b/>
        </w:rPr>
        <w:t xml:space="preserve">Harvest.</w:t>
      </w:r>
      <w:r>
        <w:t xml:space="preserve"> </w:t>
      </w:r>
      <w:r>
        <w:t xml:space="preserve">Harvest between surveys (exploitation targets 16–40%) affects recruit abundance and the carry-over relationship. Harvest and fishery closures should be included in models of recruits.</w:t>
      </w:r>
    </w:p>
    <w:p>
      <w:pPr>
        <w:numPr>
          <w:ilvl w:val="0"/>
          <w:numId w:val="1029"/>
        </w:numPr>
        <w:pStyle w:val="Compact"/>
      </w:pPr>
      <w:r>
        <w:rPr>
          <w:bCs/>
          <w:b/>
        </w:rPr>
        <w:t xml:space="preserve">Environmental coverage.</w:t>
      </w:r>
      <w:r>
        <w:t xml:space="preserve"> </w:t>
      </w:r>
      <w:r>
        <w:t xml:space="preserve">We lacked direct measures of winter wave energy, nearshore temperature at the beaches, and plume conditions near the river mouth (the discharge gauge is about 300 km upstream). Satellite SST, wave buoys and lower-river discharge should be added.</w:t>
      </w:r>
    </w:p>
    <w:p>
      <w:pPr>
        <w:numPr>
          <w:ilvl w:val="0"/>
          <w:numId w:val="1029"/>
        </w:numPr>
        <w:pStyle w:val="Compact"/>
      </w:pPr>
      <w:r>
        <w:rPr>
          <w:bCs/>
          <w:b/>
        </w:rPr>
        <w:t xml:space="preserve">Short record.</w:t>
      </w:r>
      <w:r>
        <w:t xml:space="preserve"> </w:t>
      </w:r>
      <w:r>
        <w:t xml:space="preserve">With about 27 independent year classes, power to detect moderate effects after multiplicity correction is limited; non-significant pre-specified predictors are not evidence of no effect.</w:t>
      </w:r>
    </w:p>
    <w:p>
      <w:pPr>
        <w:numPr>
          <w:ilvl w:val="0"/>
          <w:numId w:val="1029"/>
        </w:numPr>
        <w:pStyle w:val="Compact"/>
      </w:pPr>
      <w:r>
        <w:rPr>
          <w:bCs/>
          <w:b/>
        </w:rPr>
        <w:t xml:space="preserve">Prospective test.</w:t>
      </w:r>
      <w:r>
        <w:t xml:space="preserve"> </w:t>
      </w:r>
      <w:r>
        <w:t xml:space="preserve">On 2 October 2026, before the 2025 survey estimates were added to the analysis, we archived forecasts for survey 2025 [</w:t>
      </w:r>
      <w:r>
        <w:rPr>
          <w:rStyle w:val="VerbatimChar"/>
        </w:rPr>
        <w:t xml:space="preserve">forecast_2025_archived.csv</w:t>
      </w:r>
      <w:r>
        <w:t xml:space="preserve">; script</w:t>
      </w:r>
      <w:r>
        <w:t xml:space="preserve"> </w:t>
      </w:r>
      <w:r>
        <w:rPr>
          <w:rStyle w:val="VerbatimChar"/>
        </w:rPr>
        <w:t xml:space="preserve">08_forecast_2025.R</w:t>
      </w:r>
      <w:r>
        <w:t xml:space="preserve">].</w:t>
      </w:r>
    </w:p>
    <w:p>
      <w:pPr>
        <w:numPr>
          <w:ilvl w:val="1"/>
          <w:numId w:val="1030"/>
        </w:numPr>
        <w:pStyle w:val="Compact"/>
      </w:pPr>
      <w:r>
        <w:rPr>
          <w:iCs/>
          <w:i/>
        </w:rPr>
        <w:t xml:space="preserve">Pre-recruits of year class 2024</w:t>
      </w:r>
      <w:r>
        <w:t xml:space="preserve"> </w:t>
      </w:r>
      <w:r>
        <w:t xml:space="preserve">were forecast by beach-level models with trend, spawners, survey date and BEUTI, and by climatology.</w:t>
      </w:r>
    </w:p>
    <w:p>
      <w:pPr>
        <w:numPr>
          <w:ilvl w:val="1"/>
          <w:numId w:val="1030"/>
        </w:numPr>
        <w:pStyle w:val="Compact"/>
      </w:pPr>
      <w:r>
        <w:rPr>
          <w:iCs/>
          <w:i/>
        </w:rPr>
        <w:t xml:space="preserve">Recruits</w:t>
      </w:r>
      <w:r>
        <w:t xml:space="preserve"> </w:t>
      </w:r>
      <w:r>
        <w:t xml:space="preserve">were forecast by the carry-over model.</w:t>
      </w:r>
    </w:p>
    <w:p>
      <w:pPr>
        <w:numPr>
          <w:ilvl w:val="1"/>
          <w:numId w:val="1030"/>
        </w:numPr>
        <w:pStyle w:val="Compact"/>
      </w:pPr>
      <w:r>
        <w:rPr>
          <w:iCs/>
          <w:i/>
        </w:rPr>
        <w:t xml:space="preserve">Width of the intervals.</w:t>
      </w:r>
      <w:r>
        <w:t xml:space="preserve"> </w:t>
      </w:r>
      <w:r>
        <w:t xml:space="preserve">For pre-recruits, the 95% prediction intervals span one to three orders of magnitude, which shows how little a single predictor can constrain an individual year.</w:t>
      </w:r>
    </w:p>
    <w:p>
      <w:pPr>
        <w:numPr>
          <w:ilvl w:val="1"/>
          <w:numId w:val="1030"/>
        </w:numPr>
        <w:pStyle w:val="Compact"/>
      </w:pPr>
      <w:r>
        <w:rPr>
          <w:iCs/>
          <w:i/>
        </w:rPr>
        <w:t xml:space="preserve">Narrower carry-over intervals.</w:t>
      </w:r>
      <w:r>
        <w:t xml:space="preserve"> </w:t>
      </w:r>
      <w:r>
        <w:t xml:space="preserve">The carry-over intervals for recruits are narrower; for example, Copalis 5.4 million (2.5–11.9) and Mocrocks 6.9 million (3.4–13.7).</w:t>
      </w:r>
    </w:p>
    <w:p>
      <w:pPr>
        <w:numPr>
          <w:ilvl w:val="1"/>
          <w:numId w:val="1030"/>
        </w:numPr>
        <w:pStyle w:val="Compact"/>
      </w:pPr>
      <w:r>
        <w:rPr>
          <w:iCs/>
          <w:i/>
        </w:rPr>
        <w:t xml:space="preserve">How to use the test.</w:t>
      </w:r>
      <w:r>
        <w:t xml:space="preserve"> </w:t>
      </w:r>
      <w:r>
        <w:t xml:space="preserve">These forecasts should be scored against the WDFW estimates before any model is refitted.</w:t>
      </w:r>
      <w:r>
        <w:t xml:space="preserve"> </w:t>
      </w:r>
      <w:r>
        <w:rPr>
          <w:bCs/>
          <w:b/>
        </w:rPr>
        <w:t xml:space="preserve">TODO:</w:t>
      </w:r>
      <w:r>
        <w:t xml:space="preserve"> </w:t>
      </w:r>
      <w:r>
        <w:t xml:space="preserve">confirm the analyst has not already examined the 2025-26 estimates; if they have, state this in the paper and treat the comparison as partially blind.</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Aligning analyses to year classes and actual survey dates, pre-specifying a small set of mechanistic hypotheses, modelling trends and autocorrelation, and validating out of sample changed both the strength and the direction of the conclusions. We recommend these practices for environment–recruitment analyses of short, autocorrelated monitoring series.</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1"/>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1"/>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1"/>
        </w:numPr>
        <w:pStyle w:val="Compact"/>
      </w:pPr>
      <w:r>
        <w:rPr>
          <w:bCs/>
          <w:b/>
        </w:rPr>
        <w:t xml:space="preserve">Public environmental data:</w:t>
      </w:r>
      <w:r>
        <w:t xml:space="preserve"> </w:t>
      </w:r>
      <w:r>
        <w:t xml:space="preserve">BEUTI/CUTI (Jacox et al. 2018; vintage to 2025-04, and the 2026-09-28 vintage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74"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4800600"/>
            <wp:effectExtent b="0" l="0" r="0" t="0"/>
            <wp:docPr descr="Fig. 9. Exploratory window scan: detrended correlation of every 1–4 month window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48006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Exploratory window scan: detrended correlation of every 1–4 month window with the coastwide year-class index. No cell passes family-wise control.</w:t>
      </w:r>
    </w:p>
    <w:p>
      <w:pPr>
        <w:pStyle w:val="CaptionedFigure"/>
      </w:pPr>
      <w:r>
        <w:drawing>
          <wp:inline>
            <wp:extent cx="5334000" cy="2963333"/>
            <wp:effectExtent b="0" l="0" r="0" t="0"/>
            <wp:docPr descr="Fig. 10. Rolling-origin forecast skill relative to climatology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for leaky vs honest predictor selection, persistence, and stock carry-over.</w:t>
      </w:r>
    </w:p>
    <w:bookmarkEnd w:id="74"/>
    <w:bookmarkStart w:id="75" w:name="supplementary-material-to-assemble"/>
    <w:p>
      <w:pPr>
        <w:pStyle w:val="Heading2"/>
      </w:pPr>
      <w:r>
        <w:t xml:space="preserve">Supplementary material (to assemble)</w:t>
      </w:r>
    </w:p>
    <w:p>
      <w:pPr>
        <w:numPr>
          <w:ilvl w:val="0"/>
          <w:numId w:val="1032"/>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2"/>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2"/>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2"/>
        </w:numPr>
        <w:pStyle w:val="Compact"/>
      </w:pPr>
      <w:r>
        <w:rPr>
          <w:bCs/>
          <w:b/>
        </w:rPr>
        <w:t xml:space="preserve">S4.</w:t>
      </w:r>
      <w:r>
        <w:t xml:space="preserve"> </w:t>
      </w:r>
      <w:r>
        <w:t xml:space="preserve">Window-scan results for recruits (</w:t>
      </w:r>
      <w:r>
        <w:rPr>
          <w:rStyle w:val="VerbatimChar"/>
        </w:rPr>
        <w:t xml:space="preserve">fig_window_scan_rec.png</w:t>
      </w:r>
      <w:r>
        <w:t xml:space="preserve">,</w:t>
      </w:r>
      <w:r>
        <w:t xml:space="preserve"> </w:t>
      </w:r>
      <w:r>
        <w:rPr>
          <w:rStyle w:val="VerbatimChar"/>
        </w:rPr>
        <w:t xml:space="preserve">window_scan_all.csv</w:t>
      </w:r>
      <w:r>
        <w:t xml:space="preserve">).</w:t>
      </w:r>
    </w:p>
    <w:p>
      <w:pPr>
        <w:numPr>
          <w:ilvl w:val="0"/>
          <w:numId w:val="1032"/>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2"/>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75"/>
    <w:bookmarkStart w:id="76" w:name="references"/>
    <w:p>
      <w:pPr>
        <w:pStyle w:val="Heading2"/>
      </w:pPr>
      <w:r>
        <w:t xml:space="preserve">References</w:t>
      </w:r>
    </w:p>
    <w:p>
      <w:pPr>
        <w:numPr>
          <w:ilvl w:val="0"/>
          <w:numId w:val="1033"/>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3"/>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3"/>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3"/>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3"/>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3"/>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3"/>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3"/>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3"/>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3"/>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3"/>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3"/>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3"/>
        </w:numPr>
        <w:pStyle w:val="Compact"/>
      </w:pPr>
      <w:r>
        <w:t xml:space="preserve">Pinheiro J, Bates D, R Core Team. nlme: Linear and nonlinear mixed effects models. R package</w:t>
      </w:r>
      <w:r>
        <w:t xml:space="preserve"> </w:t>
      </w:r>
      <w:r>
        <w:rPr>
          <w:bCs/>
          <w:b/>
        </w:rPr>
        <w:t xml:space="preserve">[C]</w:t>
      </w:r>
    </w:p>
    <w:p>
      <w:pPr>
        <w:numPr>
          <w:ilvl w:val="0"/>
          <w:numId w:val="1033"/>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3"/>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3"/>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3"/>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3"/>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3"/>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3"/>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3"/>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2026-10-02T17:51:13Z</dcterms:created>
  <dcterms:modified xsi:type="dcterms:W3CDTF">2026-10-02T17:51:13Z</dcterms:modified>
</cp:coreProperties>
</file>

<file path=docProps/custom.xml><?xml version="1.0" encoding="utf-8"?>
<Properties xmlns="http://schemas.openxmlformats.org/officeDocument/2006/custom-properties" xmlns:vt="http://schemas.openxmlformats.org/officeDocument/2006/docPropsVTypes"/>
</file>