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92.png" ContentType="image/png"/>
  <Override PartName="/word/media/rId83.png" ContentType="image/png"/>
  <Override PartName="/word/media/rId86.png" ContentType="image/png"/>
  <Override PartName="/word/media/rId89.png" ContentType="image/png"/>
  <Override PartName="/word/media/rId62.png" ContentType="image/png"/>
  <Override PartName="/word/media/rId95.png" ContentType="image/png"/>
  <Override PartName="/word/media/rId71.png" ContentType="image/png"/>
  <Override PartName="/word/media/rId74.png" ContentType="image/png"/>
  <Override PartName="/word/media/rId77.png" ContentType="image/png"/>
  <Override PartName="/word/media/rId80.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X65b84e0feeaed79dc917048f95bc1ae6add50a6"/>
    <w:p>
      <w:pPr>
        <w:pStyle w:val="Heading1"/>
      </w:pPr>
      <w:r>
        <w:t xml:space="preserve">Which ocean conditions explain Pacific razor clam (</w:t>
      </w:r>
      <w:r>
        <w:rPr>
          <w:iCs/>
          <w:i/>
        </w:rPr>
        <w:t xml:space="preserve">Siliqua patula</w:t>
      </w:r>
      <w:r>
        <w:t xml:space="preserve">) recruitment on the Washington coast? A cohort-aligned, calibrated search of 28 years of survey data, 1997–2024</w:t>
      </w:r>
    </w:p>
    <w:p>
      <w:pPr>
        <w:pStyle w:val="FirstParagraph"/>
      </w:pPr>
      <w:r>
        <w:rPr>
          <w:bCs/>
          <w:b/>
        </w:rPr>
        <w:t xml:space="preserve">Draft v0.3, 17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set out to identify the ocean conditions that best explain year-class strength of Pacific razor clams (</w:t>
      </w:r>
      <w:r>
        <w:rPr>
          <w:iCs/>
          <w:i/>
        </w:rPr>
        <w:t xml:space="preserve">Siliqua patula</w:t>
      </w:r>
      <w:r>
        <w:t xml:space="preserve">) at five Washington management beaches, using 28 years (1997–2024) of stock-assessment abundance estimates, 218,101 shell-length measurements, and twelve environmental series: upwelling indices (BEUTI, CUTI), buoy and satellite sea-surface temperature, the Pacific Decadal Oscillation, buoy-measured wind stress, wave energy and storm hours, and Columbia River discharge at three gauges. The search was designed so that its answer could be trusted: predictors were aligned to year classes rather than survey years, an a priori set of hypotheses was tested with multiplicity control, the exploratory search over every series and window was calibrated against surrogate data, and the candidate it chose was scored out of sample with selection repeated inside every training window.</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Size classes are not year classes.</w:t>
      </w:r>
      <w:r>
        <w:t xml:space="preserve"> </w:t>
      </w:r>
      <w:r>
        <w:t xml:space="preserve">Tracking length groups across consecutive surveys showed that the year-old cohort spans about 20–95 mm, so the 76 mm pre-recruit/recruit boundary cuts through it at every beach: a growth-curve-informed length mixture fitted to all 144 beach-years put a quarter of the year-old cohort above 76 mm on average and found a third of the recruit class to be year-old clams. The same tracking reproduced WDFW’s growth coefficient at the two mark-recapture beaches and showed Kalaloch growing about half as fast. The length-based year-old cohort at one survey predicted the two-year-olds at the next at all five beaches (r = 0.48–0.86), where the size classes failed at Twin Harbors; it was carried through every analysis as a sensitivity arm.</w:t>
      </w:r>
    </w:p>
    <w:p>
      <w:pPr>
        <w:numPr>
          <w:ilvl w:val="0"/>
          <w:numId w:val="1001"/>
        </w:numPr>
        <w:pStyle w:val="Compact"/>
      </w:pPr>
      <w:r>
        <w:rPr>
          <w:bCs/>
          <w:b/>
        </w:rPr>
        <w:t xml:space="preserve">A priori hypotheses.</w:t>
      </w:r>
      <w:r>
        <w:t xml:space="preserve"> </w:t>
      </w:r>
      <w:r>
        <w:t xml:space="preserve">Of five cohort-aligned predictors, only larval-season upwelling (BEUTI, May–Aug of the spawning year) was associated with year-class strength, and negatively: −0.62 SD per SD in a coastwide index (p = 0.005; Holm-adjusted p = 0.052), and −0.70 (Holm p = 0.014) with the length-based year-old cohort. It was concentrated at interannual frequencies, held under first differencing (p &lt; 0.001), was sensitive to one year, and had no forecast skill.</w:t>
      </w:r>
    </w:p>
    <w:p>
      <w:pPr>
        <w:numPr>
          <w:ilvl w:val="0"/>
          <w:numId w:val="1001"/>
        </w:numPr>
        <w:pStyle w:val="Compact"/>
      </w:pPr>
      <w:r>
        <w:rPr>
          <w:bCs/>
          <w:b/>
        </w:rPr>
        <w:t xml:space="preserve">Exploratory search.</w:t>
      </w:r>
      <w:r>
        <w:t xml:space="preserve"> </w:t>
      </w:r>
      <w:r>
        <w:t xml:space="preserve">Across 12 series and 3,312 windows, no window passed family-wise control (95th percentile of the null maximum |r| = 0.67 for pre-recruits, 0.72 for recruits). The strongest in-sample candidates were upwelling indices in the spring</w:t>
      </w:r>
      <w:r>
        <w:t xml:space="preserve"> </w:t>
      </w:r>
      <w:r>
        <w:rPr>
          <w:iCs/>
          <w:i/>
        </w:rPr>
        <w:t xml:space="preserve">before</w:t>
      </w:r>
      <w:r>
        <w:t xml:space="preserve"> </w:t>
      </w:r>
      <w:r>
        <w:t xml:space="preserve">spawning (BEUTI Apr–Jul Y−1, r = +0.55, family-wise p = 0.58) and buoy wave energy or storm hours for recruits (r = −0.60, family-wise p = 0.63). Choosing the best candidate honestly inside each training window gave forecasts worse than climatology (skill −0.77), and the chosen series changed from one origin to the next.</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prospective forecasting;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and widen the search. The aim is explicitly exploratory, to identify the environmental series and seasonal windows that best explain year-class strength and its trend, but with the safeguards that make an exploratory answer interpretable. We ask four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a priori, mechanistically motivated predictors are associated with year-class strength?</w:t>
      </w:r>
    </w:p>
    <w:p>
      <w:pPr>
        <w:numPr>
          <w:ilvl w:val="0"/>
          <w:numId w:val="1004"/>
        </w:numPr>
        <w:pStyle w:val="Compact"/>
      </w:pPr>
      <w:r>
        <w:t xml:space="preserve">Searching every available environmental series and window with the search itself calibrated, which predictor explains the most, and does it forecast year-class strength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harvest between surveys enters only the prospective forecast protocol (Section 2.5e). Several harvest values in the season summary disagree with WDFW’s harvest-monitoring record and are under reconciliation (</w:t>
      </w:r>
      <w:r>
        <w:rPr>
          <w:bCs/>
          <w:b/>
        </w:rPr>
        <w:t xml:space="preserve">TODO</w:t>
      </w:r>
      <w:r>
        <w:t xml:space="preserve">;</w:t>
      </w:r>
      <w:r>
        <w:t xml:space="preserve"> </w:t>
      </w:r>
      <w:r>
        <w:rPr>
          <w:rStyle w:val="VerbatimChar"/>
        </w:rPr>
        <w:t xml:space="preserve">docs/harvest-monitoring-review.md</w:t>
      </w:r>
      <w:r>
        <w:t xml:space="preserve">).</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p>
      <w:pPr>
        <w:numPr>
          <w:ilvl w:val="0"/>
          <w:numId w:val="1006"/>
        </w:numPr>
        <w:pStyle w:val="Compact"/>
      </w:pPr>
      <w:r>
        <w:rPr>
          <w:bCs/>
          <w:b/>
        </w:rPr>
        <w:t xml:space="preserve">Growth curve.</w:t>
      </w:r>
      <w:r>
        <w:t xml:space="preserve"> </w:t>
      </w:r>
      <w:r>
        <w:t xml:space="preserve">WDFW fitted von Bertalanffy curves to 2006–2007 mark-recapture data at Copalis (L∞ = 143.2 mm, K = 1.00 yr⁻¹) and Long Beach (141.7 mm, 0.98 yr⁻¹) by the random-effects method for unknown age at first capture (Cheng &amp; Ayres 2008</w:t>
      </w:r>
      <w:r>
        <w:t xml:space="preserve"> </w:t>
      </w:r>
      <w:r>
        <w:rPr>
          <w:bCs/>
          <w:b/>
        </w:rPr>
        <w:t xml:space="preserve">[V]</w:t>
      </w:r>
      <w:r>
        <w:t xml:space="preserve">; Cheng &amp; Kuk 2002</w:t>
      </w:r>
      <w:r>
        <w:t xml:space="preserve"> </w:t>
      </w:r>
      <w:r>
        <w:rPr>
          <w:bCs/>
          <w:b/>
        </w:rPr>
        <w:t xml:space="preserve">[V]</w:t>
      </w:r>
      <w:r>
        <w:t xml:space="preserve">). Growth increments identify K and L∞ but not the age origin t₀, so we located the curve on the age axis with the survey data: for each beach-year with at least 150 measurements we identified the year-old cohort in two ways, as the modal length of 15–72 mm clams (excluding current-year settlers of ≤20 mm after mid-July) and as the year-old component of a three- or four-component normal mixture fitted to the whole length range, assigned it an age counted from 1 August of the previous year, and solved for t₀.</w:t>
      </w:r>
    </w:p>
    <w:p>
      <w:pPr>
        <w:numPr>
          <w:ilvl w:val="0"/>
          <w:numId w:val="1006"/>
        </w:numPr>
        <w:pStyle w:val="Compact"/>
      </w:pPr>
      <w:r>
        <w:rPr>
          <w:bCs/>
          <w:b/>
        </w:rPr>
        <w:t xml:space="preserve">Year-class tracking.</w:t>
      </w:r>
      <w:r>
        <w:t xml:space="preserve"> </w:t>
      </w:r>
      <w:r>
        <w:t xml:space="preserve">To test whether the 76 mm boundary separates year classes, we counted the clams of each beach-year in five length groups (5–24, 25–75, 76–95, 96–125 and ≥126 mm), converted the shares to numbers with the total abundance estimate, and correlated the standardised log numbers of each group with every group in the same survey and in the two previous surveys of the same beach. A group that belongs to the same year class as another covaries with it within a survey and reappears one group up a year later. The same tracking at 10 mm resolution gives the annual growth increment at each length (the bin one survey later that each bin best predicts), from which we estimated K with L∞ fixed at the WDFW value, as an independent check of the growth curve at each beach.</w:t>
      </w:r>
    </w:p>
    <w:p>
      <w:pPr>
        <w:numPr>
          <w:ilvl w:val="0"/>
          <w:numId w:val="1006"/>
        </w:numPr>
        <w:pStyle w:val="Compact"/>
      </w:pPr>
      <w:r>
        <w:rPr>
          <w:bCs/>
          <w:b/>
        </w:rPr>
        <w:t xml:space="preserve">Length-based year classes.</w:t>
      </w:r>
      <w:r>
        <w:t xml:space="preserve"> </w:t>
      </w:r>
      <w:r>
        <w:t xml:space="preserve">For every beach-year we fitted a normal mixture to the whole length range whose components are year classes, with the growth curve as a prior on the component means (a maximum-a-posteriori EM algorithm with the means held within fixed bounds of the curve and the component SDs bounded; Macdonald &amp; Pitcher 1979</w:t>
      </w:r>
      <w:r>
        <w:t xml:space="preserve"> </w:t>
      </w:r>
      <w:r>
        <w:rPr>
          <w:bCs/>
          <w:b/>
        </w:rPr>
        <w:t xml:space="preserve">[C]</w:t>
      </w:r>
      <w:r>
        <w:t xml:space="preserve">). The components were current-year settlers (only at surveys from 1 July; prior 18 mm), the year-old cohort as a slow, a main and, where the tracking showed that 76–95 mm clams belong to it, a fast component (0.45 of an annual increment below the curve, on it, and 0.62 above it), two-year-olds and older clams. At the four southern beaches the prior was the WDFW curve with t₀ = 0.45 yr. At Kalaloch, which the mark-recapture study did not cover and where the tracking gave an annual increment at 55 mm about half that at Copalis, we used K = 0.43 yr⁻¹ with L∞ unchanged, t₀ set so that the year-old cohort sits at its observed modal length, and no fast component, because the 76–95 mm clams there track the previous survey’s 25–75 mm clams rather than the same survey’s. Posterior cohort shares were applied to total abundance (pre-recruits plus recruits), giving a settler-free year-old cohort of year class Y at survey Y+1 and two-year-olds at survey Y+2, which we used as responses in a sensitivity arm beside the size classes (Sections 2.5b–d). Fit quality was summarised by the Kolmogorov distance between the empirical and fitted length distributions, and the separation was checked against the data the mixture never sees, the covariance of abundance across years: the year-old cohort at survey t should predict the two-year-olds at survey t+1.</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 Vintage: the files served by the index authors with creation date 28 September 2026. The authors regenerate the whole record when the underlying reanalysis is updated; the earlier vintage (downloaded before April 2025) differs throughout (daily r = 0.94), and results under it are reported as a sensitivity in Section 3.4</w:t>
            </w:r>
          </w:p>
        </w:tc>
      </w:tr>
      <w:tr>
        <w:tc>
          <w:tcPr/>
          <w:p>
            <w:pPr>
              <w:pStyle w:val="Compact"/>
              <w:jc w:val="left"/>
            </w:pPr>
            <w:r>
              <w:t xml:space="preserve">Columbia River discharge</w:t>
            </w:r>
          </w:p>
        </w:tc>
        <w:tc>
          <w:tcPr/>
          <w:p>
            <w:pPr>
              <w:pStyle w:val="Compact"/>
              <w:jc w:val="left"/>
            </w:pPr>
            <w:r>
              <w:t xml:space="preserve">Daily mean discharge at The Dalles, USGS 14105700 (a priori predictor), and at the lowest main-stem gauge, Port Westward near Beaver Army Terminal (14246900, from June 1991) and the Willamette at Portland (14211720), from the USGS Water Data API (exploratory search)</w:t>
            </w:r>
          </w:p>
        </w:tc>
      </w:tr>
      <w:tr>
        <w:tc>
          <w:tcPr/>
          <w:p>
            <w:pPr>
              <w:pStyle w:val="Compact"/>
              <w:jc w:val="left"/>
            </w:pPr>
            <w:r>
              <w:t xml:space="preserve">PDO</w:t>
            </w:r>
          </w:p>
        </w:tc>
        <w:tc>
          <w:tcPr/>
          <w:p>
            <w:pPr>
              <w:pStyle w:val="Compact"/>
              <w:jc w:val="left"/>
            </w:pPr>
            <w:r>
              <w:t xml:space="preserve">Monthly index, NCEI ERSST v5 as served in October 2026 (the earlier cached copy and NOAA PSL’s version differ from it by up to 1 unit in single months, r = 0.98, with no effect on the results, Section 3.4)</w:t>
            </w:r>
          </w:p>
        </w:tc>
      </w:tr>
      <w:tr>
        <w:tc>
          <w:tcPr/>
          <w:p>
            <w:pPr>
              <w:pStyle w:val="Compact"/>
              <w:jc w:val="left"/>
            </w:pPr>
            <w:r>
              <w:t xml:space="preserve">Satellite SST</w:t>
            </w:r>
          </w:p>
        </w:tc>
        <w:tc>
          <w:tcPr/>
          <w:p>
            <w:pPr>
              <w:pStyle w:val="Compact"/>
              <w:jc w:val="left"/>
            </w:pPr>
            <w:r>
              <w:t xml:space="preserve">NOAA OISST v2.1 (0.25°, daily, 1981–; regional mean over 45.9–48.1°N) and JPL MUR (1 km, monthly, 2002–; mean of 0.1° boxes off the five beaches), via the CoastWatch ERDDAP; anomalies relative to 1991–2020 and 2003–2020 (exploratory search; checks of the buoy series)</w:t>
            </w:r>
          </w:p>
        </w:tc>
      </w:tr>
      <w:tr>
        <w:tc>
          <w:tcPr/>
          <w:p>
            <w:pPr>
              <w:pStyle w:val="Compact"/>
              <w:jc w:val="left"/>
            </w:pPr>
            <w:r>
              <w:t xml:space="preserve">Buoy winds and waves</w:t>
            </w:r>
          </w:p>
        </w:tc>
        <w:tc>
          <w:tcPr/>
          <w:p>
            <w:pPr>
              <w:pStyle w:val="Compact"/>
              <w:jc w:val="left"/>
            </w:pPr>
            <w:r>
              <w:t xml:space="preserve">Hourly NDBC records from the same six open-coast stations: alongshore wind stress (Large and Pond drag, coastline 10° east of north; positive equatorward, upwelling-favourable), significant wave height squared (wave energy) and the share of hours with Hs &gt; 4 m (storm hours), each homogenised across stations as for temperature (exploratory search)</w:t>
            </w:r>
          </w:p>
        </w:tc>
      </w:tr>
      <w:tr>
        <w:tc>
          <w:tcPr/>
          <w:p>
            <w:pPr>
              <w:pStyle w:val="Compact"/>
              <w:jc w:val="left"/>
            </w:pPr>
            <w:r>
              <w:t xml:space="preserve">Sea-surface temperature</w:t>
            </w:r>
          </w:p>
        </w:tc>
        <w:tc>
          <w:tcPr/>
          <w:p>
            <w:pPr>
              <w:pStyle w:val="Compact"/>
              <w:jc w:val="left"/>
            </w:pPr>
            <w:r>
              <w:t xml:space="preserve">Hourly NDBC data from six open-coast stations: 46029 Columbia River Bar, 46041 Cape Elizabeth, 46211 Grays Harbor, 46248 Astoria Canyon, and the OOI Westport shelf and offshore moorings 46099 and 46100</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modelled as a station-specific monthly climatology plus a common regional anomaly, with station error variances as precision weights, estimated jointly by alternating least squares (a two-way additive model of the kind used for climate-station homogenisation). Joint estimation avoids the bias that arises when a station with a short record is referenced to its own climatology. The regional anomaly carries a standard error (0.15–0.40 °C depending on the number of reporting stations). Four alternative buoy constructions, including naive buoy anomalies and a beach-local version that admits estuary gauges, agree with it at r ≥ 0.98; two satellite products, NOAA OISST v2.1 (0.25°, 1981–) and JPL MUR (1 km, 2002–), extracted at pixels off each beach, agree with it at monthly r = 0.88 and 0.94; all give the same inference (Supplement S6).</w:t>
      </w:r>
    </w:p>
    <w:p>
      <w:pPr>
        <w:numPr>
          <w:ilvl w:val="0"/>
          <w:numId w:val="1007"/>
        </w:numPr>
        <w:pStyle w:val="Compact"/>
      </w:pPr>
      <w:r>
        <w:rPr>
          <w:bCs/>
          <w:b/>
        </w:rPr>
        <w:t xml:space="preserve">Independent checks of the upwelling indices.</w:t>
      </w:r>
      <w:r>
        <w:t xml:space="preserve"> </w:t>
      </w:r>
      <w:r>
        <w:t xml:space="preserve">The buoy wind stress also serves as a measured counterpart to the model-derived CUTI and BEUTI, and the wave series as a direct measure of the first-winter storminess that CUTI proxies (Supplement S6).</w:t>
      </w:r>
    </w:p>
    <w:bookmarkEnd w:id="24"/>
    <w:bookmarkStart w:id="25" w:name="Xec131153685fa04a620600ed70ba6d8a570e68a"/>
    <w:p>
      <w:pPr>
        <w:pStyle w:val="Heading3"/>
      </w:pPr>
      <w:r>
        <w:t xml:space="preserve">2.4 Two arms: a priori hypotheses and a calibrated search</w:t>
      </w:r>
    </w:p>
    <w:p>
      <w:pPr>
        <w:pStyle w:val="FirstParagraph"/>
      </w:pPr>
      <w:r>
        <w:t xml:space="preserve">The analysis has an a priori arm and an exploratory arm, kept apart and reported with the same prominence.</w:t>
      </w:r>
    </w:p>
    <w:p>
      <w:pPr>
        <w:numPr>
          <w:ilvl w:val="0"/>
          <w:numId w:val="1008"/>
        </w:numPr>
        <w:pStyle w:val="Compact"/>
      </w:pPr>
      <w:r>
        <w:rPr>
          <w:bCs/>
          <w:b/>
        </w:rPr>
        <w:t xml:space="preserve">A priori arm.</w:t>
      </w:r>
      <w:r>
        <w:t xml:space="preserve"> </w:t>
      </w: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 These are tested with multiplicity control within the family (Section 2.5b).</w:t>
      </w:r>
    </w:p>
    <w:p>
      <w:pPr>
        <w:numPr>
          <w:ilvl w:val="0"/>
          <w:numId w:val="1008"/>
        </w:numPr>
        <w:pStyle w:val="Compact"/>
      </w:pPr>
      <w:r>
        <w:rPr>
          <w:bCs/>
          <w:b/>
        </w:rPr>
        <w:t xml:space="preserve">Exploratory arm.</w:t>
      </w:r>
      <w:r>
        <w:t xml:space="preserve"> </w:t>
      </w:r>
      <w:r>
        <w:t xml:space="preserve">Every environmental series in the record (12 when all products are present: BEUTI and CUTI at 47°N, buoy SST, OISST, MUR, PDO, discharge at The Dalles, Beaver and the Willamette, wind stress, wave energy, storm hours) is searched over every window of 1–4 consecutive months from January of the year before spawning to June of the response survey year. The search is calibrated against surrogate data (Section 2.5c), and the candidate it selects is scored out of sample with the selection repeated inside every training window (Section 2.5d). Its purpose is to find the predictor that best explains year-class strength; the calibration and the out-of-sample score say whether that</w:t>
      </w:r>
      <w:r>
        <w:t xml:space="preserve"> </w:t>
      </w:r>
      <w:r>
        <w:t xml:space="preserve">“</w:t>
      </w:r>
      <w:r>
        <w:t xml:space="preserve">best</w:t>
      </w:r>
      <w:r>
        <w:t xml:space="preserve">”</w:t>
      </w:r>
      <w:r>
        <w:t xml:space="preserve"> </w:t>
      </w:r>
      <w:r>
        <w:t xml:space="preserve">is better than chance.</w:t>
      </w:r>
    </w:p>
    <w:p>
      <w:pPr>
        <w:pStyle w:val="FirstParagraph"/>
      </w:pPr>
      <w:r>
        <w:rPr>
          <w:bCs/>
          <w:b/>
        </w:rPr>
        <w:t xml:space="preserve">Table 1.</w:t>
      </w:r>
      <w:r>
        <w:t xml:space="preserve"> </w:t>
      </w:r>
      <w:r>
        <w:t xml:space="preserve">A priori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9"/>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9"/>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9"/>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9"/>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10"/>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10"/>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10"/>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10"/>
        </w:numPr>
      </w:pPr>
      <w:r>
        <w:rPr>
          <w:iCs/>
          <w:i/>
        </w:rPr>
        <w:t xml:space="preserve">Sensitivity analyses:</w:t>
      </w:r>
    </w:p>
    <w:p>
      <w:pPr>
        <w:numPr>
          <w:ilvl w:val="1"/>
          <w:numId w:val="1011"/>
        </w:numPr>
        <w:pStyle w:val="Compact"/>
      </w:pPr>
      <w:r>
        <w:t xml:space="preserve">no trend term;</w:t>
      </w:r>
    </w:p>
    <w:p>
      <w:pPr>
        <w:numPr>
          <w:ilvl w:val="1"/>
          <w:numId w:val="1011"/>
        </w:numPr>
        <w:pStyle w:val="Compact"/>
      </w:pPr>
      <w:r>
        <w:t xml:space="preserve">excluding Kalaloch;</w:t>
      </w:r>
    </w:p>
    <w:p>
      <w:pPr>
        <w:numPr>
          <w:ilvl w:val="1"/>
          <w:numId w:val="1011"/>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1"/>
        </w:numPr>
        <w:pStyle w:val="Compact"/>
      </w:pPr>
      <w:r>
        <w:t xml:space="preserve">beach-specific GLS-AR(1) models;</w:t>
      </w:r>
    </w:p>
    <w:p>
      <w:pPr>
        <w:numPr>
          <w:ilvl w:val="1"/>
          <w:numId w:val="1011"/>
        </w:numPr>
        <w:pStyle w:val="Compact"/>
      </w:pPr>
      <w:r>
        <w:t xml:space="preserve">all five predictors in one model;</w:t>
      </w:r>
    </w:p>
    <w:p>
      <w:pPr>
        <w:numPr>
          <w:ilvl w:val="1"/>
          <w:numId w:val="1011"/>
        </w:numPr>
        <w:pStyle w:val="Compact"/>
      </w:pPr>
      <w:r>
        <w:t xml:space="preserve">the length-based year classes (the year-old cohort at survey Y+1 and the two-year-olds at survey Y+2, Section 2.2) in place of the size classes, with Holm adjustment within that set of 10 tests and the same covariates.</w:t>
      </w:r>
    </w:p>
    <w:p>
      <w:pPr>
        <w:numPr>
          <w:ilvl w:val="0"/>
          <w:numId w:val="1010"/>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Calibrated exploratory window scan.</w:t>
      </w:r>
    </w:p>
    <w:p>
      <w:pPr>
        <w:numPr>
          <w:ilvl w:val="0"/>
          <w:numId w:val="1012"/>
        </w:numPr>
        <w:pStyle w:val="Compact"/>
      </w:pPr>
      <w:r>
        <w:rPr>
          <w:iCs/>
          <w:i/>
        </w:rPr>
        <w:t xml:space="preserve">Scan.</w:t>
      </w:r>
      <w:r>
        <w:t xml:space="preserve"> </w:t>
      </w:r>
      <w:r>
        <w:t xml:space="preserve">We scanned all windows of 1–4 consecutive months from January of Y−1 to June of the response survey year for every environmental series: 1,368 windows for pre-recruits and 1,944 for recruits across 12 series (windows with fewer than 15 year classes were excluded). Each window was correlated with the detrended coastwide index; the undetrended correlation and the window’s own correlation with year were recorded beside it, so that explaining the trend can be told apart from explaining year-to-year variation. The scan was repeated with the two length-based year classes as responses.</w:t>
      </w:r>
    </w:p>
    <w:p>
      <w:pPr>
        <w:numPr>
          <w:ilvl w:val="0"/>
          <w:numId w:val="1012"/>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3"/>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3"/>
        </w:numPr>
        <w:pStyle w:val="Compact"/>
      </w:pPr>
      <w:r>
        <w:rPr>
          <w:iCs/>
          <w:i/>
        </w:rPr>
        <w:t xml:space="preserve">Skill score.</w:t>
      </w:r>
      <w:r>
        <w:t xml:space="preserve"> </w:t>
      </w:r>
      <w:r>
        <w:t xml:space="preserve">SS = 1 − MSE_model / MSE_climatology, where climatology is the training-period mean.</w:t>
      </w:r>
    </w:p>
    <w:p>
      <w:pPr>
        <w:numPr>
          <w:ilvl w:val="0"/>
          <w:numId w:val="1013"/>
        </w:numPr>
        <w:pStyle w:val="Compact"/>
      </w:pPr>
      <w:r>
        <w:rPr>
          <w:iCs/>
          <w:i/>
        </w:rPr>
        <w:t xml:space="preserve">Models compared, original framework</w:t>
      </w:r>
      <w:r>
        <w:t xml:space="preserve"> </w:t>
      </w:r>
      <w:r>
        <w:t xml:space="preserve">(response = log abundance at survey t):</w:t>
      </w:r>
    </w:p>
    <w:p>
      <w:pPr>
        <w:numPr>
          <w:ilvl w:val="1"/>
          <w:numId w:val="1014"/>
        </w:numPr>
        <w:pStyle w:val="Compact"/>
      </w:pPr>
      <w:r>
        <w:t xml:space="preserve">persistence;</w:t>
      </w:r>
    </w:p>
    <w:p>
      <w:pPr>
        <w:numPr>
          <w:ilvl w:val="1"/>
          <w:numId w:val="1014"/>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4"/>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4"/>
        </w:numPr>
        <w:pStyle w:val="Compact"/>
      </w:pPr>
      <w:r>
        <w:t xml:space="preserve">for recruits, a stock carry-over model, log recruits(t) ~ log pre-recruits(t−1) + log recruits(t−1), with no environmental data.</w:t>
      </w:r>
    </w:p>
    <w:p>
      <w:pPr>
        <w:numPr>
          <w:ilvl w:val="0"/>
          <w:numId w:val="1013"/>
        </w:numPr>
        <w:pStyle w:val="Compact"/>
      </w:pPr>
      <w:r>
        <w:rPr>
          <w:iCs/>
          <w:i/>
        </w:rPr>
        <w:t xml:space="preserve">Models compared, year-class framework</w:t>
      </w:r>
      <w:r>
        <w:t xml:space="preserve"> </w:t>
      </w:r>
      <w:r>
        <w:t xml:space="preserve">(response = log pre-recruits of year class Y at survey Y+1, per beach): persistence; trend; trend + spawners + survey date; BEUTI alone; trend + BEUTI (a priori); and the exploratory candidate: the (series, window) with the strongest detrended correlation with the coastwide index over the training year classes, re-selected from the full catalogue of Section 2.5c inside every training window (</w:t>
      </w:r>
      <w:r>
        <w:t xml:space="preserve">“</w:t>
      </w:r>
      <w:r>
        <w:t xml:space="preserve">honest</w:t>
      </w:r>
      <w:r>
        <w:t xml:space="preserve">”</w:t>
      </w:r>
      <w:r>
        <w:t xml:space="preserve">) or selected once on all years (</w:t>
      </w:r>
      <w:r>
        <w:t xml:space="preserve">“</w:t>
      </w:r>
      <w:r>
        <w:t xml:space="preserve">leaky</w:t>
      </w:r>
      <w:r>
        <w:t xml:space="preserve">”</w:t>
      </w:r>
      <w:r>
        <w:t xml:space="preserve">), then used in the beach model with trend, spawners and survey date. The frequency with which each series was selected across training origins measures the stability of the exploratory choice. The year-class framework was repeated with the length-based year-old cohort as the target.</w:t>
      </w:r>
    </w:p>
    <w:p>
      <w:pPr>
        <w:pStyle w:val="FirstParagraph"/>
      </w:pPr>
      <w:r>
        <w:rPr>
          <w:bCs/>
          <w:b/>
        </w:rPr>
        <w:t xml:space="preserve">(e) Prospective forecast protocol.</w:t>
      </w:r>
    </w:p>
    <w:p>
      <w:pPr>
        <w:numPr>
          <w:ilvl w:val="0"/>
          <w:numId w:val="1015"/>
        </w:numPr>
        <w:pStyle w:val="Compact"/>
      </w:pPr>
      <w:r>
        <w:t xml:space="preserve">A fixed protocol (</w:t>
      </w:r>
      <w:r>
        <w:rPr>
          <w:rStyle w:val="VerbatimChar"/>
        </w:rPr>
        <w:t xml:space="preserve">docs/forecast-protocol.md</w:t>
      </w:r>
      <w:r>
        <w:t xml:space="preserve">) issues forecasts for the next survey year with prediction intervals, from models fixed in advance (for pre-recruits: climatology, trend, the a priori BEUTI model, and the exploratory candidate selected on the data available at issue; for recruits: climatology, persistence, the carry-over model, and the carry-over model with the harvest taken between the surveys removed), records them in a ledger with the issue date, code version and data vintage, and scores them on the log scale (error, 95% interval coverage, CRPS, skill versus climatology) when the estimates arrive. Rows are never overwritten.</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8 minutes, and random seeds are fixed.</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6"/>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6"/>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7"/>
        </w:numPr>
        <w:pStyle w:val="Compact"/>
      </w:pPr>
      <w:r>
        <w:t xml:space="preserve">Log recruits increased at Mocrocks (4.0% per year, GLS-AR(1) p = 0.001), Copalis (4.6%, p = 0.002) and Twin Harbors (2.4%, p = 0.008), and possibly Long Beach (4.0%, p = 0.06).</w:t>
      </w:r>
    </w:p>
    <w:p>
      <w:pPr>
        <w:numPr>
          <w:ilvl w:val="1"/>
          <w:numId w:val="1017"/>
        </w:numPr>
        <w:pStyle w:val="Compact"/>
      </w:pPr>
      <w:r>
        <w:t xml:space="preserve">Pre-recruits showed no trend except a decline at Twin Harbors (−3.9% per year, p = 0.006).</w:t>
      </w:r>
    </w:p>
    <w:p>
      <w:pPr>
        <w:numPr>
          <w:ilvl w:val="1"/>
          <w:numId w:val="1017"/>
        </w:numPr>
        <w:pStyle w:val="Compact"/>
      </w:pPr>
      <w:r>
        <w:t xml:space="preserve">Among predictors, BEUTI (May–Aug) increased strongly (correlation with year 0.81) [</w:t>
      </w:r>
      <w:r>
        <w:rPr>
          <w:rStyle w:val="VerbatimChar"/>
        </w:rPr>
        <w:t xml:space="preserve">confirmatory_predictor_correlations.csv</w:t>
      </w:r>
      <w:r>
        <w:t xml:space="preserve">]. At 47°N the May–Aug mean rose from 0.25 ± 0.24 in 1988–1998 to 2.97 ± 0.98 in 2011–2024 (mean ± SD of annual values), whereas CUTI doubled (0.19 ± 0.05 to 0.38 ± 0.12) [</w:t>
      </w:r>
      <w:r>
        <w:rPr>
          <w:rStyle w:val="VerbatimChar"/>
        </w:rPr>
        <w:t xml:space="preserve">env_beuti_latitude_periods.csv</w:t>
      </w:r>
      <w:r>
        <w:t xml:space="preserve">].</w:t>
      </w:r>
    </w:p>
    <w:p>
      <w:pPr>
        <w:numPr>
          <w:ilvl w:val="0"/>
          <w:numId w:val="1016"/>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8"/>
        </w:numPr>
        <w:pStyle w:val="Compact"/>
      </w:pPr>
      <w:r>
        <w:t xml:space="preserve">Recruits were synchronous among the four southern beaches: mean pairwise r = 0.67, or 0.51 after detrending.</w:t>
      </w:r>
    </w:p>
    <w:p>
      <w:pPr>
        <w:numPr>
          <w:ilvl w:val="1"/>
          <w:numId w:val="1018"/>
        </w:numPr>
        <w:pStyle w:val="Compact"/>
      </w:pPr>
      <w:r>
        <w:t xml:space="preserve">Pre-recruits were only weakly synchronous: 0.30, or 0.35 detrended.</w:t>
      </w:r>
    </w:p>
    <w:p>
      <w:pPr>
        <w:numPr>
          <w:ilvl w:val="1"/>
          <w:numId w:val="1018"/>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9"/>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9"/>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9"/>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20"/>
        </w:numPr>
        <w:pStyle w:val="Compact"/>
      </w:pPr>
      <w:r>
        <w:t xml:space="preserve">Log pre-recruits at survey t were correlated with log recruits at survey t+1 at Kalaloch (r = 0.51, p = 0.006), Mocrocks (0.50, p = 0.008), Copalis (0.58, p = 0.002) and Long Beach (0.50, p = 0.009).</w:t>
      </w:r>
    </w:p>
    <w:p>
      <w:pPr>
        <w:numPr>
          <w:ilvl w:val="1"/>
          <w:numId w:val="1020"/>
        </w:numPr>
        <w:pStyle w:val="Compact"/>
      </w:pPr>
      <w:r>
        <w:t xml:space="preserve">There was no such link at Twin Harbors (−0.16, p = 0.43), where August pre-recruit counts mix new settlers with year-old clams.</w:t>
      </w:r>
    </w:p>
    <w:p>
      <w:pPr>
        <w:numPr>
          <w:ilvl w:val="1"/>
          <w:numId w:val="1020"/>
        </w:numPr>
        <w:pStyle w:val="Compact"/>
      </w:pPr>
      <w:r>
        <w:t xml:space="preserve">Same-year correlations between pre-recruits and recruits were weak (−0.24 to 0.40).</w:t>
      </w:r>
    </w:p>
    <w:p>
      <w:pPr>
        <w:numPr>
          <w:ilvl w:val="0"/>
          <w:numId w:val="1019"/>
        </w:numPr>
      </w:pPr>
      <w:r>
        <w:rPr>
          <w:bCs/>
          <w:b/>
        </w:rPr>
        <w:t xml:space="preserve">Growth curve on the age axis</w:t>
      </w:r>
      <w:r>
        <w:t xml:space="preserve"> </w:t>
      </w:r>
      <w:r>
        <w:t xml:space="preserve">[</w:t>
      </w:r>
      <w:r>
        <w:rPr>
          <w:rStyle w:val="VerbatimChar"/>
        </w:rPr>
        <w:t xml:space="preserve">growth_model_check.csv</w:t>
      </w:r>
      <w:r>
        <w:t xml:space="preserve">; Fig. 12]. The year-old cohort grew from 41–53 mm at the June-surveyed beaches (Copalis, Long Beach) to 48–62 mm at Mocrocks (mid-July) and 59–69 mm at Kalaloch and Twin Harbors (late July to August), the two values being the kernel mode and the mixture component. With WDFW’s K and L∞ these imply t₀ = 0.51 ± 0.19 yr (modes) or 0.39 ± 0.17 yr (mixture) over 140 beach-years, the same at all five beaches to within 0.07 yr under either identification. On that curve a year class reaches 76 mm at 1.14–1.27 yr, in the autumn after its first survey, and is at 103–110 mm at its second, so it is counted as pre-recruits at survey Y+1 and recruits at survey Y+2 at the June- and July-surveyed beaches. The notebook’s age labels, which assumed t₀ = 0, were about half a year too young. A separate 20–25 mm component was supported in 41–57% of June beach-years, where it cannot be current-year settlement.</w:t>
      </w:r>
    </w:p>
    <w:p>
      <w:pPr>
        <w:numPr>
          <w:ilvl w:val="0"/>
          <w:numId w:val="1019"/>
        </w:numPr>
      </w:pPr>
      <w:r>
        <w:rPr>
          <w:bCs/>
          <w:b/>
        </w:rPr>
        <w:t xml:space="preserve">76 mm is not a cohort boundary</w:t>
      </w:r>
      <w:r>
        <w:t xml:space="preserve"> </w:t>
      </w:r>
      <w:r>
        <w:t xml:space="preserve">(Fig. 13) [</w:t>
      </w:r>
      <w:r>
        <w:rPr>
          <w:rStyle w:val="VerbatimChar"/>
        </w:rPr>
        <w:t xml:space="preserve">cohort_length_transitions.csv</w:t>
      </w:r>
      <w:r>
        <w:t xml:space="preserve">,</w:t>
      </w:r>
      <w:r>
        <w:t xml:space="preserve"> </w:t>
      </w:r>
      <w:r>
        <w:rPr>
          <w:rStyle w:val="VerbatimChar"/>
        </w:rPr>
        <w:t xml:space="preserve">cohort_length_transitions_by_beach.csv</w:t>
      </w:r>
      <w:r>
        <w:t xml:space="preserve">,</w:t>
      </w:r>
      <w:r>
        <w:t xml:space="preserve"> </w:t>
      </w:r>
      <w:r>
        <w:rPr>
          <w:rStyle w:val="VerbatimChar"/>
        </w:rPr>
        <w:t xml:space="preserve">cohort_growth_increments_summary.csv</w:t>
      </w:r>
      <w:r>
        <w:t xml:space="preserve">]. At the June and July surveys (Copalis, Long Beach, Mocrocks pooled), the 76–95 mm clams covaried with the same survey’s 25–75 mm clams (r = 0.73) and not with the previous survey’s (r = 0.10), and both groups reappeared at 96–125 mm one survey later (r = 0.78 and 0.77) and at ≥126 mm two surveys later (0.54, 0.50): the 76–95 mm clams are the fast part of the year-old cohort, not two-year-olds. The annual growth increments implied by the same tracking at 10 mm resolution gave K = 1.02 yr⁻¹ at both Copalis and Long Beach with L∞ fixed at WDFW’s values, against 1.00 and 0.98 from the mark-recapture study, an independent corroboration of the growth curve; Mocrocks gave 0.89. Kalaloch was different: its 76–95 mm clams tracked the previous survey’s 25–75 mm clams (r = 0.55) rather than the same survey’s (0.12), and its increment at 55 mm was 31 mm against 56 mm at Copalis (K = 0.43), so at Kalaloch the two-year-olds, not the year-olds, straddle 76 mm.</w:t>
      </w:r>
    </w:p>
    <w:p>
      <w:pPr>
        <w:numPr>
          <w:ilvl w:val="0"/>
          <w:numId w:val="1019"/>
        </w:numPr>
      </w:pPr>
      <w:r>
        <w:rPr>
          <w:bCs/>
          <w:b/>
        </w:rPr>
        <w:t xml:space="preserve">Cohort separation</w:t>
      </w:r>
      <w:r>
        <w:t xml:space="preserve"> </w:t>
      </w:r>
      <w:r>
        <w:t xml:space="preserve">(Figs 14–17) [</w:t>
      </w:r>
      <w:r>
        <w:rPr>
          <w:rStyle w:val="VerbatimChar"/>
        </w:rPr>
        <w:t xml:space="preserve">cohort_separation_summary.csv</w:t>
      </w:r>
      <w:r>
        <w:t xml:space="preserve">,</w:t>
      </w:r>
      <w:r>
        <w:t xml:space="preserve"> </w:t>
      </w:r>
      <w:r>
        <w:rPr>
          <w:rStyle w:val="VerbatimChar"/>
        </w:rPr>
        <w:t xml:space="preserve">cohort_separation_by_year.csv</w:t>
      </w:r>
      <w:r>
        <w:t xml:space="preserve">,</w:t>
      </w:r>
      <w:r>
        <w:t xml:space="preserve"> </w:t>
      </w:r>
      <w:r>
        <w:rPr>
          <w:rStyle w:val="VerbatimChar"/>
        </w:rPr>
        <w:t xml:space="preserve">cohort_linkage.csv</w:t>
      </w:r>
      <w:r>
        <w:t xml:space="preserve">]. The growth-curve-informed mixture fitted all 144 beach-years with a median Kolmogorov distance of 0.020 (three Kalaloch surveys, with heaped lengths, exceeded 0.08). The fitted year-old | two-year-old boundary lay at 97–105 mm (medians by beach) at the four southern beaches and at 78 mm at Kalaloch, and the two-year-old | older boundary at 124–127 mm (100 mm at Kalaloch). A quarter of the year-old cohort was above 76 mm on average (Copalis 0.26, Long Beach 0.22, Mocrocks 0.28, Twin Harbors 0.42, where it exceeded half in 31% of years; Kalaloch 0.07), so that on average a third of the recruit class (0.35; Twin Harbors 0.49) consisted of year-old clams; at surveys from July, current-year settlers were a quarter of the pre-recruit class (0.25). The separation passed the check the mixture never sees: the length-based year-old cohort at survey t predicted the two-year-olds at survey t+1 at every beach, with r = 0.63 at Copalis, 0.86 at Long Beach, 0.70 at Mocrocks, 0.48 at Twin Harbors (Spearman 0.69) and 0.59 at Kalaloch (Spearman 0.53; 0.34 over the 17 pairs with sound fits), where the size classes gave 0.58, 0.50, 0.50, −0.16 and 0.51. The two-year-old to older linkage was weaker (r = 0.78 at Mocrocks, 0.65 at Long Beach, 0.23–0.27 at Copalis and Kalaloch, 0.00 at Twin Harbors), and the settler component at the late surveys did not predict the next year’s year-olds (r = −0.24 to 0.14).</w:t>
      </w:r>
    </w:p>
    <w:bookmarkEnd w:id="29"/>
    <w:bookmarkStart w:id="30" w:name="Xc8f7ec8bee59a50061f34a8470e9e4fddfedf7d"/>
    <w:p>
      <w:pPr>
        <w:pStyle w:val="Heading3"/>
      </w:pPr>
      <w:r>
        <w:t xml:space="preserve">3.3 Exhaustive screening is compatible with chance</w:t>
      </w:r>
    </w:p>
    <w:p>
      <w:pPr>
        <w:numPr>
          <w:ilvl w:val="0"/>
          <w:numId w:val="1021"/>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21"/>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21"/>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21"/>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2"/>
        </w:numPr>
        <w:pStyle w:val="Compact"/>
      </w:pPr>
      <w:r>
        <w:t xml:space="preserve">Copalis recruits × BEUTI (Jul–Aug, lag 4): r = 0.59 → 0.02.</w:t>
      </w:r>
    </w:p>
    <w:p>
      <w:pPr>
        <w:numPr>
          <w:ilvl w:val="1"/>
          <w:numId w:val="1022"/>
        </w:numPr>
        <w:pStyle w:val="Compact"/>
      </w:pPr>
      <w:r>
        <w:t xml:space="preserve">Mocrocks recruits × BEUTI (Jun–Jul, lag 5): r = 0.74 → 0.44.</w:t>
      </w:r>
    </w:p>
    <w:p>
      <w:pPr>
        <w:numPr>
          <w:ilvl w:val="1"/>
          <w:numId w:val="1022"/>
        </w:numPr>
        <w:pStyle w:val="Compact"/>
      </w:pPr>
      <w:r>
        <w:t xml:space="preserve">Long Beach recruits × BEUTI (Jun–Jul, lag 5): r = 0.57 → 0.33.</w:t>
      </w:r>
    </w:p>
    <w:p>
      <w:pPr>
        <w:numPr>
          <w:ilvl w:val="1"/>
          <w:numId w:val="1022"/>
        </w:numPr>
        <w:pStyle w:val="Compact"/>
      </w:pPr>
      <w:r>
        <w:t xml:space="preserve">Nine of the ten predictors selected for pre-recruits had lags of 2–5 years, implausible for clams that are about one year old.</w:t>
      </w:r>
    </w:p>
    <w:bookmarkEnd w:id="30"/>
    <w:bookmarkStart w:id="31" w:name="a-priori-cohort-aligned-predictors"/>
    <w:p>
      <w:pPr>
        <w:pStyle w:val="Heading3"/>
      </w:pPr>
      <w:r>
        <w:t xml:space="preserve">3.4 A priori,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3"/>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4"/>
        </w:numPr>
        <w:pStyle w:val="Compact"/>
      </w:pPr>
      <w:r>
        <w:t xml:space="preserve">All five beaches: −0.31 log units per SD (95% CI −0.67 to +0.06; LRT p = 0.11; Holm p = 1.0).</w:t>
      </w:r>
    </w:p>
    <w:p>
      <w:pPr>
        <w:numPr>
          <w:ilvl w:val="1"/>
          <w:numId w:val="1024"/>
        </w:numPr>
        <w:pStyle w:val="Compact"/>
      </w:pPr>
      <w:r>
        <w:t xml:space="preserve">Excluding Kalaloch: −0.45 (−0.79 to −0.10; p = 0.014; Holm p = 0.14).</w:t>
      </w:r>
    </w:p>
    <w:p>
      <w:pPr>
        <w:numPr>
          <w:ilvl w:val="1"/>
          <w:numId w:val="1024"/>
        </w:numPr>
        <w:pStyle w:val="Compact"/>
      </w:pPr>
      <w:r>
        <w:t xml:space="preserve">Coastwide index (GLS-AR(1)): −0.62 ± 0.20 SD per SD (p = 0.005; Holm p = 0.052).</w:t>
      </w:r>
    </w:p>
    <w:p>
      <w:pPr>
        <w:numPr>
          <w:ilvl w:val="0"/>
          <w:numId w:val="1023"/>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−0.71 (p = 0.001), Long Beach −1.24 (p = 0.073), Copalis −0.45 (p = 0.076), Kalaloch −0.72 (p = 0.15), Twin Harbors −0.11 (p = 0.57).</w:t>
      </w:r>
    </w:p>
    <w:p>
      <w:pPr>
        <w:numPr>
          <w:ilvl w:val="0"/>
          <w:numId w:val="1023"/>
        </w:numPr>
        <w:pStyle w:val="Compact"/>
      </w:pPr>
      <w:r>
        <w:rPr>
          <w:bCs/>
          <w:b/>
        </w:rPr>
        <w:t xml:space="preserve">No other predictor approached significance:</w:t>
      </w:r>
      <w:r>
        <w:t xml:space="preserve"> </w:t>
      </w:r>
      <w:r>
        <w:t xml:space="preserve">SST anomaly, PDO, freshet discharge and winter CUTI all had p ≥ 0.50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5"/>
        </w:numPr>
        <w:pStyle w:val="Compact"/>
      </w:pPr>
      <w:r>
        <w:rPr>
          <w:iCs/>
          <w:i/>
        </w:rPr>
        <w:t xml:space="preserve">Detrending method.</w:t>
      </w:r>
      <w:r>
        <w:t xml:space="preserve"> </w:t>
      </w:r>
      <w:r>
        <w:t xml:space="preserve">It held under loess detrending (r = −0.43, p = 0.026) and first differences (slope −0.70, p &lt; 0.001), and was weaker when only a linear trend was removed by ordinary least squares (−0.36, p = 0.098). The association is therefore expressed at interannual rather than decadal frequencies.</w:t>
      </w:r>
    </w:p>
    <w:p>
      <w:pPr>
        <w:numPr>
          <w:ilvl w:val="0"/>
          <w:numId w:val="1025"/>
        </w:numPr>
        <w:pStyle w:val="Compact"/>
      </w:pPr>
      <w:r>
        <w:rPr>
          <w:iCs/>
          <w:i/>
        </w:rPr>
        <w:t xml:space="preserve">Influential year.</w:t>
      </w:r>
      <w:r>
        <w:t xml:space="preserve"> </w:t>
      </w:r>
      <w:r>
        <w:t xml:space="preserve">All leave-one-year-out estimates were negative (−0.25 to −0.43). Removing the most influential year (2020) reduced the estimate to −0.26 (p = 0.25).</w:t>
      </w:r>
    </w:p>
    <w:p>
      <w:pPr>
        <w:numPr>
          <w:ilvl w:val="0"/>
          <w:numId w:val="1025"/>
        </w:numPr>
        <w:pStyle w:val="Compact"/>
      </w:pPr>
      <w:r>
        <w:rPr>
          <w:iCs/>
          <w:i/>
        </w:rPr>
        <w:t xml:space="preserve">Without the trend term.</w:t>
      </w:r>
      <w:r>
        <w:t xml:space="preserve"> </w:t>
      </w:r>
      <w:r>
        <w:t xml:space="preserve">The pooled estimate was −0.11 (p = 0.41), because BEUTI and year are strongly correlated (r = 0.81).</w:t>
      </w:r>
    </w:p>
    <w:p>
      <w:pPr>
        <w:numPr>
          <w:ilvl w:val="0"/>
          <w:numId w:val="1025"/>
        </w:numPr>
        <w:pStyle w:val="Compact"/>
      </w:pPr>
      <w:r>
        <w:rPr>
          <w:iCs/>
          <w:i/>
        </w:rPr>
        <w:t xml:space="preserve">Post-2003 only.</w:t>
      </w:r>
      <w:r>
        <w:t xml:space="preserve"> </w:t>
      </w:r>
      <w:r>
        <w:t xml:space="preserve">−0.50 (p = 0.025), the period with four or more open-coast buoys and the full set of beaches.</w:t>
      </w:r>
    </w:p>
    <w:p>
      <w:pPr>
        <w:numPr>
          <w:ilvl w:val="0"/>
          <w:numId w:val="1025"/>
        </w:numPr>
        <w:pStyle w:val="Compact"/>
      </w:pPr>
      <w:r>
        <w:rPr>
          <w:iCs/>
          <w:i/>
        </w:rPr>
        <w:t xml:space="preserve">CUTI analogue.</w:t>
      </w:r>
      <w:r>
        <w:t xml:space="preserve"> </w:t>
      </w:r>
      <w:r>
        <w:t xml:space="preserve">CUTI over the same window showed the same sign but a weaker association (linear −0.08, p = 0.63; first differences −0.37, p = 0.083).</w:t>
      </w:r>
    </w:p>
    <w:p>
      <w:pPr>
        <w:numPr>
          <w:ilvl w:val="0"/>
          <w:numId w:val="1025"/>
        </w:numPr>
        <w:pStyle w:val="Compact"/>
      </w:pPr>
      <w:r>
        <w:rPr>
          <w:iCs/>
          <w:i/>
        </w:rPr>
        <w:t xml:space="preserve">Index vintage.</w:t>
      </w:r>
      <w:r>
        <w:t xml:space="preserve"> </w:t>
      </w:r>
      <w:r>
        <w:t xml:space="preserve">Under the earlier vintage of the index (downloaded before April 2025; daily r with the current files 0.94) the same tests gave a more precise estimate: coastwide −0.58 ± 0.16 (p = 0.001, Holm 0.013); pooled −0.34 (p = 0.052); without Kalaloch −0.49 (Holm 0.031); first differences −0.57 (p &lt; 0.001) [</w:t>
      </w:r>
      <w:r>
        <w:rPr>
          <w:rStyle w:val="VerbatimChar"/>
        </w:rPr>
        <w:t xml:space="preserve">env_index_vintage_effects.csv</w:t>
      </w:r>
      <w:r>
        <w:t xml:space="preserve">;</w:t>
      </w:r>
      <w:r>
        <w:t xml:space="preserve"> </w:t>
      </w:r>
      <w:r>
        <w:rPr>
          <w:rStyle w:val="VerbatimChar"/>
        </w:rPr>
        <w:t xml:space="preserve">docs/environmental-record-options.md</w:t>
      </w:r>
      <w:r>
        <w:t xml:space="preserve"> </w:t>
      </w:r>
      <w:r>
        <w:t xml:space="preserve">§6.1]. The sign and size of the association do not depend on the vintage; whether it clears a Holm-corrected threshold of 0.05 does. The null results for CUTI (winter) and the PDO held under both vintages and under both current PDO sources.</w:t>
      </w:r>
    </w:p>
    <w:p>
      <w:pPr>
        <w:pStyle w:val="FirstParagraph"/>
      </w:pPr>
      <w:r>
        <w:rPr>
          <w:bCs/>
          <w:b/>
        </w:rPr>
        <w:t xml:space="preserve">Recruits (year class Y at survey Y+2):</w:t>
      </w:r>
    </w:p>
    <w:p>
      <w:pPr>
        <w:numPr>
          <w:ilvl w:val="0"/>
          <w:numId w:val="1026"/>
        </w:numPr>
        <w:pStyle w:val="Compact"/>
      </w:pPr>
      <w:r>
        <w:t xml:space="preserve">Only freshet discharge (Apr–Jun Y) was nominally associated: +0.18 log units per SD (0.05–0.32; p = 0.011; Holm p = 0.11), coastwide +0.30 ± 0.12 (p = 0.015; Holm p = 0.13).</w:t>
      </w:r>
    </w:p>
    <w:p>
      <w:pPr>
        <w:numPr>
          <w:ilvl w:val="0"/>
          <w:numId w:val="1026"/>
        </w:numPr>
        <w:pStyle w:val="Compact"/>
      </w:pPr>
      <w:r>
        <w:t xml:space="preserve">The association weakened when Kalaloch was excluded (+0.10, p = 0.12).</w:t>
      </w:r>
    </w:p>
    <w:p>
      <w:pPr>
        <w:numPr>
          <w:ilvl w:val="0"/>
          <w:numId w:val="1026"/>
        </w:numPr>
        <w:pStyle w:val="Compact"/>
      </w:pPr>
      <w:r>
        <w:t xml:space="preserve">In the full model with all five predictors, the estimates were similar: BEUTI −0.47 (t = −1.90) for pre-recruits and discharge +0.21 (t = 2.82) for recruits [</w:t>
      </w:r>
      <w:r>
        <w:rPr>
          <w:rStyle w:val="VerbatimChar"/>
        </w:rPr>
        <w:t xml:space="preserve">confirmatory_full_model.csv</w:t>
      </w:r>
      <w:r>
        <w:t xml:space="preserve">].</w:t>
      </w:r>
    </w:p>
    <w:p>
      <w:pPr>
        <w:pStyle w:val="FirstParagraph"/>
      </w:pPr>
      <w:r>
        <w:rPr>
          <w:bCs/>
          <w:b/>
        </w:rPr>
        <w:t xml:space="preserve">Length-based year classes (sensitivity vi)</w:t>
      </w:r>
      <w:r>
        <w:t xml:space="preserve"> </w:t>
      </w:r>
      <w:r>
        <w:t xml:space="preserve">(Fig. 18) [</w:t>
      </w:r>
      <w:r>
        <w:rPr>
          <w:rStyle w:val="VerbatimChar"/>
        </w:rPr>
        <w:t xml:space="preserve">confirmatory_pooled_lengthbased.csv</w:t>
      </w:r>
      <w:r>
        <w:t xml:space="preserve">,</w:t>
      </w:r>
      <w:r>
        <w:t xml:space="preserve"> </w:t>
      </w:r>
      <w:r>
        <w:rPr>
          <w:rStyle w:val="VerbatimChar"/>
        </w:rPr>
        <w:t xml:space="preserve">confirmatory_coastwide_lengthbased.csv</w:t>
      </w:r>
      <w:r>
        <w:t xml:space="preserve">]. With the year-old cohort of Section 3.2 in place of the pre-recruit class, the BEUTI association was the same in sign and size and slightly stronger: pooled −0.39 log units per SD (−0.78 to +0.00; p = 0.065; Holm p = 0.65), excluding Kalaloch −0.41 (−0.72 to −0.11; p = 0.010; Holm p = 0.10), coastwide −0.70 ± 0.19 (p = 0.001; Holm p = 0.014). No other predictor approached significance (SST +0.21, p = 0.13; winter CUTI +0.20, p = 0.17; PDO and discharge p ≥ 0.6). With the two-year-olds in place of the recruit class, BEUTI was −0.26 (p = 0.13; coastwide −0.38 ± 0.15, p = 0.018, Holm p = 0.17), and the freshet-discharge association of the recruit class disappeared (+0.05, p = 0.64; coastwide +0.08, p = 0.34): that association belongs to the mixed-age recruit class, which includes the fast year-olds and the older clams, not to the two-year-old cohort.</w:t>
      </w:r>
    </w:p>
    <w:p>
      <w:pPr>
        <w:pStyle w:val="BodyText"/>
      </w:pPr>
      <w:r>
        <w:rPr>
          <w:bCs/>
          <w:b/>
        </w:rPr>
        <w:t xml:space="preserve">Table 2.</w:t>
      </w:r>
      <w:r>
        <w:t xml:space="preserve"> </w:t>
      </w:r>
      <w:r>
        <w:t xml:space="preserve">A priori predictors of pre-recruit abundance of year class Y at survey Y+1. Effects per 1 SD of predictor (95% CI); pooled models in log units, coastwide index in index SD. Holm adjustment across 5 predictors × 2 responses. Current index vintage.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−0.31 (−0.67, +0.06); p = 0.11; Holm 1.0</w:t>
            </w:r>
          </w:p>
        </w:tc>
        <w:tc>
          <w:tcPr/>
          <w:p>
            <w:pPr>
              <w:pStyle w:val="Compact"/>
              <w:jc w:val="left"/>
            </w:pPr>
            <w:r>
              <w:t xml:space="preserve">−0.45 (−0.79, −0.10); p = 0.014; Holm 0.14</w:t>
            </w:r>
          </w:p>
        </w:tc>
        <w:tc>
          <w:tcPr/>
          <w:p>
            <w:pPr>
              <w:pStyle w:val="Compact"/>
              <w:jc w:val="left"/>
            </w:pPr>
            <w:r>
              <w:t xml:space="preserve">−0.62 ± 0.20; p = 0.005; Holm 0.052</w:t>
            </w:r>
          </w:p>
        </w:tc>
      </w:tr>
      <w:tr>
        <w:tc>
          <w:tcPr/>
          <w:p>
            <w:pPr>
              <w:pStyle w:val="Compact"/>
              <w:jc w:val="left"/>
            </w:pPr>
            <w:r>
              <w:t xml:space="preserve">SST anomaly May–Sep</w:t>
            </w:r>
          </w:p>
        </w:tc>
        <w:tc>
          <w:tcPr/>
          <w:p>
            <w:pPr>
              <w:pStyle w:val="Compact"/>
              <w:jc w:val="left"/>
            </w:pPr>
            <w:r>
              <w:t xml:space="preserve">+0.05 (−0.21, 0.30); p = 0.71</w:t>
            </w:r>
          </w:p>
        </w:tc>
        <w:tc>
          <w:tcPr/>
          <w:p>
            <w:pPr>
              <w:pStyle w:val="Compact"/>
              <w:jc w:val="left"/>
            </w:pPr>
            <w:r>
              <w:t xml:space="preserve">+0.08 (−0.17, 0.33); p = 0.55</w:t>
            </w:r>
          </w:p>
        </w:tc>
        <w:tc>
          <w:tcPr/>
          <w:p>
            <w:pPr>
              <w:pStyle w:val="Compact"/>
              <w:jc w:val="left"/>
            </w:pPr>
            <w:r>
              <w:t xml:space="preserve">+0.07 ± 0.14; p = 0.63</w:t>
            </w:r>
          </w:p>
        </w:tc>
      </w:tr>
      <w:tr>
        <w:tc>
          <w:tcPr/>
          <w:p>
            <w:pPr>
              <w:pStyle w:val="Compact"/>
              <w:jc w:val="left"/>
            </w:pPr>
            <w:r>
              <w:t xml:space="preserve">PDO May–Sep</w:t>
            </w:r>
          </w:p>
        </w:tc>
        <w:tc>
          <w:tcPr/>
          <w:p>
            <w:pPr>
              <w:pStyle w:val="Compact"/>
              <w:jc w:val="left"/>
            </w:pPr>
            <w:r>
              <w:t xml:space="preserve">+0.02 (−0.25, 0.29); p = 0.89</w:t>
            </w:r>
          </w:p>
        </w:tc>
        <w:tc>
          <w:tcPr/>
          <w:p>
            <w:pPr>
              <w:pStyle w:val="Compact"/>
              <w:jc w:val="left"/>
            </w:pPr>
            <w:r>
              <w:t xml:space="preserve">−0.05 (−0.32, 0.21); p = 0.69</w:t>
            </w:r>
          </w:p>
        </w:tc>
        <w:tc>
          <w:tcPr/>
          <w:p>
            <w:pPr>
              <w:pStyle w:val="Compact"/>
              <w:jc w:val="left"/>
            </w:pPr>
            <w:r>
              <w:t xml:space="preserve">−0.03 ± 0.14; p = 0.82</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+0.09 (−0.17, 0.35); p = 0.50</w:t>
            </w:r>
          </w:p>
        </w:tc>
        <w:tc>
          <w:tcPr/>
          <w:p>
            <w:pPr>
              <w:pStyle w:val="Compact"/>
              <w:jc w:val="left"/>
            </w:pPr>
            <w:r>
              <w:t xml:space="preserve">+0.04 (−0.21, 0.29); p = 0.76</w:t>
            </w:r>
          </w:p>
        </w:tc>
        <w:tc>
          <w:tcPr/>
          <w:p>
            <w:pPr>
              <w:pStyle w:val="Compact"/>
              <w:jc w:val="left"/>
            </w:pPr>
            <w:r>
              <w:t xml:space="preserve">+0.15 ± 0.17; p = 0.39</w:t>
            </w:r>
          </w:p>
        </w:tc>
      </w:tr>
    </w:tbl>
    <w:bookmarkEnd w:id="31"/>
    <w:bookmarkStart w:id="32" w:name="X35972173282ae6b9f0ea9680fded2d0424c5875"/>
    <w:p>
      <w:pPr>
        <w:pStyle w:val="Heading3"/>
      </w:pPr>
      <w:r>
        <w:t xml:space="preserve">3.5 Calibrated search over all series and windows</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window_scan_top10.csv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Response</w:t>
            </w:r>
          </w:p>
        </w:tc>
        <w:tc>
          <w:tcPr/>
          <w:p>
            <w:pPr>
              <w:pStyle w:val="Compact"/>
              <w:jc w:val="left"/>
            </w:pPr>
            <w:r>
              <w:t xml:space="preserve">Series × windows tested</w:t>
            </w:r>
          </w:p>
        </w:tc>
        <w:tc>
          <w:tcPr/>
          <w:p>
            <w:pPr>
              <w:pStyle w:val="Compact"/>
              <w:jc w:val="left"/>
            </w:pPr>
            <w:r>
              <w:t xml:space="preserve">Nominal p &lt; 0.05</w:t>
            </w:r>
          </w:p>
        </w:tc>
        <w:tc>
          <w:tcPr/>
          <w:p>
            <w:pPr>
              <w:pStyle w:val="Compact"/>
              <w:jc w:val="left"/>
            </w:pPr>
            <w:r>
              <w:t xml:space="preserve">95th percentile of null max|r|</w:t>
            </w:r>
          </w:p>
        </w:tc>
        <w:tc>
          <w:tcPr/>
          <w:p>
            <w:pPr>
              <w:pStyle w:val="Compact"/>
              <w:jc w:val="left"/>
            </w:pPr>
            <w:r>
              <w:t xml:space="preserve">Strongest window (detrended r; family-wise p)</w:t>
            </w:r>
          </w:p>
        </w:tc>
      </w:tr>
      <w:tr>
        <w:tc>
          <w:tcPr/>
          <w:p>
            <w:pPr>
              <w:pStyle w:val="Compact"/>
              <w:jc w:val="left"/>
            </w:pPr>
            <w:r>
              <w:t xml:space="preserve">Pre-recruits</w:t>
            </w:r>
          </w:p>
        </w:tc>
        <w:tc>
          <w:tcPr/>
          <w:p>
            <w:pPr>
              <w:pStyle w:val="Compact"/>
              <w:jc w:val="left"/>
            </w:pPr>
            <w:r>
              <w:t xml:space="preserve">12 × 1,368</w:t>
            </w:r>
          </w:p>
        </w:tc>
        <w:tc>
          <w:tcPr/>
          <w:p>
            <w:pPr>
              <w:pStyle w:val="Compact"/>
              <w:jc w:val="left"/>
            </w:pPr>
            <w:r>
              <w:t xml:space="preserve">58</w:t>
            </w:r>
          </w:p>
        </w:tc>
        <w:tc>
          <w:tcPr/>
          <w:p>
            <w:pPr>
              <w:pStyle w:val="Compact"/>
              <w:jc w:val="left"/>
            </w:pPr>
            <w:r>
              <w:t xml:space="preserve">0.67</w:t>
            </w:r>
          </w:p>
        </w:tc>
        <w:tc>
          <w:tcPr/>
          <w:p>
            <w:pPr>
              <w:pStyle w:val="Compact"/>
              <w:jc w:val="left"/>
            </w:pPr>
            <w:r>
              <w:t xml:space="preserve">BEUTI Apr–Jul Y−1 (+0.55; 0.58)</w:t>
            </w:r>
          </w:p>
        </w:tc>
      </w:tr>
      <w:tr>
        <w:tc>
          <w:tcPr/>
          <w:p>
            <w:pPr>
              <w:pStyle w:val="Compact"/>
              <w:jc w:val="left"/>
            </w:pPr>
            <w:r>
              <w:t xml:space="preserve">Recruits</w:t>
            </w:r>
          </w:p>
        </w:tc>
        <w:tc>
          <w:tcPr/>
          <w:p>
            <w:pPr>
              <w:pStyle w:val="Compact"/>
              <w:jc w:val="left"/>
            </w:pPr>
            <w:r>
              <w:t xml:space="preserve">12 × 1,944</w:t>
            </w:r>
          </w:p>
        </w:tc>
        <w:tc>
          <w:tcPr/>
          <w:p>
            <w:pPr>
              <w:pStyle w:val="Compact"/>
              <w:jc w:val="left"/>
            </w:pPr>
            <w:r>
              <w:t xml:space="preserve">211</w:t>
            </w:r>
          </w:p>
        </w:tc>
        <w:tc>
          <w:tcPr/>
          <w:p>
            <w:pPr>
              <w:pStyle w:val="Compact"/>
              <w:jc w:val="left"/>
            </w:pPr>
            <w:r>
              <w:t xml:space="preserve">0.72</w:t>
            </w:r>
          </w:p>
        </w:tc>
        <w:tc>
          <w:tcPr/>
          <w:p>
            <w:pPr>
              <w:pStyle w:val="Compact"/>
              <w:jc w:val="left"/>
            </w:pPr>
            <w:r>
              <w:t xml:space="preserve">Wave energy Jul–Aug Y (−0.60; 0.63)</w:t>
            </w:r>
          </w:p>
        </w:tc>
      </w:tr>
      <w:tr>
        <w:tc>
          <w:tcPr/>
          <w:p>
            <w:pPr>
              <w:pStyle w:val="Compact"/>
              <w:jc w:val="left"/>
            </w:pPr>
            <w:r>
              <w:t xml:space="preserve">Year-old cohort, length-based</w:t>
            </w:r>
          </w:p>
        </w:tc>
        <w:tc>
          <w:tcPr/>
          <w:p>
            <w:pPr>
              <w:pStyle w:val="Compact"/>
              <w:jc w:val="left"/>
            </w:pPr>
            <w:r>
              <w:t xml:space="preserve">12 × 1,368</w:t>
            </w:r>
          </w:p>
        </w:tc>
        <w:tc>
          <w:tcPr/>
          <w:p>
            <w:pPr>
              <w:pStyle w:val="Compact"/>
              <w:jc w:val="left"/>
            </w:pPr>
            <w:r>
              <w:t xml:space="preserve">68</w:t>
            </w:r>
          </w:p>
        </w:tc>
        <w:tc>
          <w:tcPr/>
          <w:p>
            <w:pPr>
              <w:pStyle w:val="Compact"/>
              <w:jc w:val="left"/>
            </w:pPr>
            <w:r>
              <w:t xml:space="preserve">0.68</w:t>
            </w:r>
          </w:p>
        </w:tc>
        <w:tc>
          <w:tcPr/>
          <w:p>
            <w:pPr>
              <w:pStyle w:val="Compact"/>
              <w:jc w:val="left"/>
            </w:pPr>
            <w:r>
              <w:t xml:space="preserve">Wave energy Jul–Aug Y (−0.55; 0.63)</w:t>
            </w:r>
          </w:p>
        </w:tc>
      </w:tr>
      <w:tr>
        <w:tc>
          <w:tcPr/>
          <w:p>
            <w:pPr>
              <w:pStyle w:val="Compact"/>
              <w:jc w:val="left"/>
            </w:pPr>
            <w:r>
              <w:t xml:space="preserve">Two-year-olds, length-based</w:t>
            </w:r>
          </w:p>
        </w:tc>
        <w:tc>
          <w:tcPr/>
          <w:p>
            <w:pPr>
              <w:pStyle w:val="Compact"/>
              <w:jc w:val="left"/>
            </w:pPr>
            <w:r>
              <w:t xml:space="preserve">12 × 1,944</w:t>
            </w:r>
          </w:p>
        </w:tc>
        <w:tc>
          <w:tcPr/>
          <w:p>
            <w:pPr>
              <w:pStyle w:val="Compact"/>
              <w:jc w:val="left"/>
            </w:pPr>
            <w:r>
              <w:t xml:space="preserve">54</w:t>
            </w:r>
          </w:p>
        </w:tc>
        <w:tc>
          <w:tcPr/>
          <w:p>
            <w:pPr>
              <w:pStyle w:val="Compact"/>
              <w:jc w:val="left"/>
            </w:pPr>
            <w:r>
              <w:t xml:space="preserve">0.70</w:t>
            </w:r>
          </w:p>
        </w:tc>
        <w:tc>
          <w:tcPr/>
          <w:p>
            <w:pPr>
              <w:pStyle w:val="Compact"/>
              <w:jc w:val="left"/>
            </w:pPr>
            <w:r>
              <w:t xml:space="preserve">Wind stress Apr–Jun Y+1 (+0.53; 0.89)</w:t>
            </w:r>
          </w:p>
        </w:tc>
      </w:tr>
    </w:tbl>
    <w:p>
      <w:pPr>
        <w:numPr>
          <w:ilvl w:val="0"/>
          <w:numId w:val="1027"/>
        </w:numPr>
        <w:pStyle w:val="Compact"/>
      </w:pPr>
      <w:r>
        <w:rPr>
          <w:bCs/>
          <w:b/>
        </w:rPr>
        <w:t xml:space="preserve">Pre-recruits.</w:t>
      </w:r>
      <w:r>
        <w:t xml:space="preserve"> </w:t>
      </w:r>
      <w:r>
        <w:t xml:space="preserve">The ten strongest windows were all between r = 0.47 and 0.55 and none approached the null threshold: upwelling (BEUTI or CUTI) in March–July of the year</w:t>
      </w:r>
      <w:r>
        <w:t xml:space="preserve"> </w:t>
      </w:r>
      <w:r>
        <w:rPr>
          <w:iCs/>
          <w:i/>
        </w:rPr>
        <w:t xml:space="preserve">before</w:t>
      </w:r>
      <w:r>
        <w:t xml:space="preserve"> </w:t>
      </w:r>
      <w:r>
        <w:t xml:space="preserve">spawning, positive, in seven of them; Willamette discharge in November of the spawning year (−0.49); storm hours in January of Y−1 (+0.47). Each series’ best window had |r| between 0.34 (The Dalles) and 0.55 [</w:t>
      </w:r>
      <w:r>
        <w:rPr>
          <w:rStyle w:val="VerbatimChar"/>
        </w:rPr>
        <w:t xml:space="preserve">window_scan_best_per_variable.csv</w:t>
      </w:r>
      <w:r>
        <w:t xml:space="preserve">]. The a priori BEUTI window (May–Aug Y) had detrended r = −0.33 in this scan; the strongest BEUTI windows are in the preceding spring with the opposite sign, and detrended BEUTI is weakly negatively autocorrelated, so the two cannot be separated with 27 year classes.</w:t>
      </w:r>
    </w:p>
    <w:p>
      <w:pPr>
        <w:numPr>
          <w:ilvl w:val="0"/>
          <w:numId w:val="1027"/>
        </w:numPr>
        <w:pStyle w:val="Compact"/>
      </w:pPr>
      <w:r>
        <w:rPr>
          <w:bCs/>
          <w:b/>
        </w:rPr>
        <w:t xml:space="preserve">Recruits.</w:t>
      </w:r>
      <w:r>
        <w:t xml:space="preserve"> </w:t>
      </w:r>
      <w:r>
        <w:t xml:space="preserve">The strongest windows were buoy wave energy in July–August of the spawning year (−0.60), storm hours in October–November of Y+1 (−0.59), wind stress in March–April of the survey year (+0.59) and discharge at The Dalles in March of the survey year (−0.56, the</w:t>
      </w:r>
      <w:r>
        <w:t xml:space="preserve"> </w:t>
      </w:r>
      <w:r>
        <w:t xml:space="preserve">“</w:t>
      </w:r>
      <w:r>
        <w:t xml:space="preserve">spring discharge, lag 0</w:t>
      </w:r>
      <w:r>
        <w:t xml:space="preserve">”</w:t>
      </w:r>
      <w:r>
        <w:t xml:space="preserve"> </w:t>
      </w:r>
      <w:r>
        <w:t xml:space="preserve">predictor the original analysis selected at two beaches). Family-wise p ranged from 0.63 to 0.84.</w:t>
      </w:r>
    </w:p>
    <w:p>
      <w:pPr>
        <w:numPr>
          <w:ilvl w:val="0"/>
          <w:numId w:val="1027"/>
        </w:numPr>
        <w:pStyle w:val="Compact"/>
      </w:pPr>
      <w:r>
        <w:rPr>
          <w:bCs/>
          <w:b/>
        </w:rPr>
        <w:t xml:space="preserve">Length-based year classes</w:t>
      </w:r>
      <w:r>
        <w:t xml:space="preserve"> </w:t>
      </w:r>
      <w:r>
        <w:t xml:space="preserve">(Supplement S8) [</w:t>
      </w:r>
      <w:r>
        <w:rPr>
          <w:rStyle w:val="VerbatimChar"/>
        </w:rPr>
        <w:t xml:space="preserve">window_scan_top10.csv</w:t>
      </w:r>
      <w:r>
        <w:t xml:space="preserve">]. The scan over the year-old cohort found the same kind of candidates at the same strength: buoy wave energy in July–August of the spawning year (−0.55), Willamette discharge in November of the spawning year (−0.55) and satellite SST in May–August of the spawning year (+0.54, of which r with year 0.51), none near the null threshold. The a priori BEUTI window (May–Aug Y) had detrended r = −0.47 against this response (−0.33 against pre-recruits), the strongest BEUTI window of either sign here. For the two-year-olds the strongest windows were alongshore wind stress in April–June of Y+1 (+0.53) and October of Y−1 (+0.53), with family-wise p ≥ 0.89. The spring-before-spawning upwelling candidates of the pre-recruit scan did not rank among the ten strongest for the length-based cohort.</w:t>
      </w:r>
    </w:p>
    <w:p>
      <w:pPr>
        <w:numPr>
          <w:ilvl w:val="0"/>
          <w:numId w:val="1027"/>
        </w:numPr>
        <w:pStyle w:val="Compact"/>
      </w:pPr>
      <w:r>
        <w:rPr>
          <w:bCs/>
          <w:b/>
        </w:rPr>
        <w:t xml:space="preserve">Trend attribution</w:t>
      </w:r>
      <w:r>
        <w:t xml:space="preserve"> </w:t>
      </w:r>
      <w:r>
        <w:t xml:space="preserve">[</w:t>
      </w:r>
      <w:r>
        <w:rPr>
          <w:rStyle w:val="VerbatimChar"/>
        </w:rPr>
        <w:t xml:space="preserve">window_scan_trend_attribution.csv</w:t>
      </w:r>
      <w:r>
        <w:t xml:space="preserve">]. The pre-recruit index has no trend (r with year 0.06), so nothing can explain its trend. The recruit index does (r = 0.35), and the windows that correlate most with it before detrending are those that trend themselves: CUTI and BEUTI in February–April of the survey year (raw r = 0.62 and 0.59, of which r with year 0.55 and 0.52). The wave, storm, wind and discharge windows above have no trend (|r with year| ≤ 0.30), so their correlations are interannual. With 28 years, any trending series</w:t>
      </w:r>
      <w:r>
        <w:t xml:space="preserve"> </w:t>
      </w:r>
      <w:r>
        <w:t xml:space="preserve">“</w:t>
      </w:r>
      <w:r>
        <w:t xml:space="preserve">explains</w:t>
      </w:r>
      <w:r>
        <w:t xml:space="preserve">”</w:t>
      </w:r>
      <w:r>
        <w:t xml:space="preserve"> </w:t>
      </w:r>
      <w:r>
        <w:t xml:space="preserve">a trending response; only the detrended association is testable.</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8"/>
        </w:numPr>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8"/>
        </w:numPr>
      </w:pPr>
      <w:r>
        <w:rPr>
          <w:bCs/>
          <w:b/>
        </w:rPr>
        <w:t xml:space="preserve">Persistence</w:t>
      </w:r>
      <w:r>
        <w:t xml:space="preserve"> </w:t>
      </w:r>
      <w:r>
        <w:t xml:space="preserve">performed poorly for pre-recruits (−1.08), consistent with their lack of autocorrelation.</w:t>
      </w:r>
    </w:p>
    <w:p>
      <w:pPr>
        <w:numPr>
          <w:ilvl w:val="0"/>
          <w:numId w:val="1028"/>
        </w:numPr>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8"/>
        </w:numPr>
      </w:pPr>
      <w:r>
        <w:rPr>
          <w:bCs/>
          <w:b/>
        </w:rPr>
        <w:t xml:space="preserve">Year-class pre-recruits</w:t>
      </w:r>
      <w:r>
        <w:t xml:space="preserve"> </w:t>
      </w:r>
      <w:r>
        <w:t xml:space="preserve">(Fig. 11) [</w:t>
      </w:r>
      <w:r>
        <w:rPr>
          <w:rStyle w:val="VerbatimChar"/>
        </w:rPr>
        <w:t xml:space="preserve">forecast_skill_cohort_framework.csv</w:t>
      </w:r>
      <w:r>
        <w:t xml:space="preserve">,</w:t>
      </w:r>
      <w:r>
        <w:t xml:space="preserve"> </w:t>
      </w:r>
      <w:r>
        <w:rPr>
          <w:rStyle w:val="VerbatimChar"/>
        </w:rPr>
        <w:t xml:space="preserve">forecast_selection_stability.csv</w:t>
      </w:r>
      <w:r>
        <w:t xml:space="preserve">]. No model beat climatology overall. The trend alone scored −0.09, the a priori trend + BEUTI model −0.12 (BEUTI alone −0.15), and adding spawners and survey date to the trend −0.25. The exploratory candidate chosen honestly inside each training window scored −0.77, worse than every other model, while the same candidate chosen once on all years scored −0.21: the gap between the two is the selection bias of the search. Trend + BEUTI was positive at Mocrocks (+0.19) and Twin Harbors (+0.08), about zero at Long Beach, and negative at Copalis (−0.11) and Kalaloch (−0.27). The honest search chose buoy SST in July of Y−1 at 6 of 13 training origins, BEUTI at 3, CUTI at 3 and storm hours at 1, and chose BEUTI (Apr–Jul Y−1) on the full record; the candidate it would issue today is therefore not the one it would have issued in most earlier years.</w:t>
      </w:r>
    </w:p>
    <w:p>
      <w:pPr>
        <w:numPr>
          <w:ilvl w:val="0"/>
          <w:numId w:val="1028"/>
        </w:numPr>
      </w:pPr>
      <w:r>
        <w:rPr>
          <w:bCs/>
          <w:b/>
        </w:rPr>
        <w:t xml:space="preserve">Length-based year-old cohort</w:t>
      </w:r>
      <w:r>
        <w:t xml:space="preserve"> </w:t>
      </w:r>
      <w:r>
        <w:t xml:space="preserve">(Supplement S8) [</w:t>
      </w:r>
      <w:r>
        <w:rPr>
          <w:rStyle w:val="VerbatimChar"/>
        </w:rPr>
        <w:t xml:space="preserve">forecast_skill_cohort_framework_lengthbased.csv</w:t>
      </w:r>
      <w:r>
        <w:t xml:space="preserve">,</w:t>
      </w:r>
      <w:r>
        <w:t xml:space="preserve"> </w:t>
      </w:r>
      <w:r>
        <w:rPr>
          <w:rStyle w:val="VerbatimChar"/>
        </w:rPr>
        <w:t xml:space="preserve">forecast_selection_stability_lengthbased.csv</w:t>
      </w:r>
      <w:r>
        <w:t xml:space="preserve">]. With the length-based cohort as the target the picture was the same: trend +0.02, trend + BEUTI +0.04 (BEUTI alone −0.10), trend + spawners + survey date −0.07, the exploratory candidate chosen once on all years −0.19 and chosen honestly inside each training window −0.92; persistence −0.98. Trend + BEUTI was positive at Mocrocks (+0.25), Copalis (+0.10) and Kalaloch (+0.05), zero at Twin Harbors and negative at Long Beach (−0.09). The honest search chose buoy SST in July of Y−1 at 5 of 14 training origins, storm hours in January of Y−1 at 5 and satellite SST in the spawning summer at 4, and chose wave energy in July–August of Y on the full record.</w:t>
      </w:r>
    </w:p>
    <w:p>
      <w:pPr>
        <w:pStyle w:val="FirstParagraph"/>
      </w:pPr>
      <w:r>
        <w:rPr>
          <w:bCs/>
          <w:b/>
        </w:rPr>
        <w:t xml:space="preserve">Table 3.</w:t>
      </w:r>
      <w:r>
        <w:t xml:space="preserve"> </w:t>
      </w:r>
      <w:r>
        <w:t xml:space="preserve">Rolling-origin forecast skill relative to climatology (survey years 2011–2024; 70 forecasts per row in the original framework, 65 in the year-class framework, 64 for the length-based cohort).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 (original framework)</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 (original framework)</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w:t>
            </w:r>
          </w:p>
        </w:tc>
        <w:tc>
          <w:tcPr/>
          <w:p>
            <w:pPr>
              <w:pStyle w:val="Compact"/>
              <w:jc w:val="left"/>
            </w:pPr>
            <w:r>
              <w:t xml:space="preserve">−0.09</w:t>
            </w:r>
          </w:p>
        </w:tc>
      </w:tr>
      <w:tr>
        <w:tc>
          <w:tcPr/>
          <w:p>
            <w:pPr>
              <w:pStyle w:val="Compact"/>
            </w:pPr>
          </w:p>
        </w:tc>
        <w:tc>
          <w:tcPr/>
          <w:p>
            <w:pPr>
              <w:pStyle w:val="Compact"/>
              <w:jc w:val="left"/>
            </w:pPr>
            <w:r>
              <w:t xml:space="preserve">Trend + BEUTI (a priori)</w:t>
            </w:r>
          </w:p>
        </w:tc>
        <w:tc>
          <w:tcPr/>
          <w:p>
            <w:pPr>
              <w:pStyle w:val="Compact"/>
              <w:jc w:val="left"/>
            </w:pPr>
            <w:r>
              <w:t xml:space="preserve">−0.12</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−0.21</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−0.77</w:t>
            </w:r>
          </w:p>
        </w:tc>
      </w:tr>
      <w:tr>
        <w:tc>
          <w:tcPr/>
          <w:p>
            <w:pPr>
              <w:pStyle w:val="Compact"/>
              <w:jc w:val="left"/>
            </w:pPr>
            <w:r>
              <w:t xml:space="preserve">Year-old cohort, length-based</w:t>
            </w:r>
          </w:p>
        </w:tc>
        <w:tc>
          <w:tcPr/>
          <w:p>
            <w:pPr>
              <w:pStyle w:val="Compact"/>
              <w:jc w:val="left"/>
            </w:pPr>
            <w:r>
              <w:t xml:space="preserve">Trend</w:t>
            </w:r>
          </w:p>
        </w:tc>
        <w:tc>
          <w:tcPr/>
          <w:p>
            <w:pPr>
              <w:pStyle w:val="Compact"/>
              <w:jc w:val="left"/>
            </w:pPr>
            <w:r>
              <w:t xml:space="preserve">+0.02</w:t>
            </w:r>
          </w:p>
        </w:tc>
      </w:tr>
      <w:tr>
        <w:tc>
          <w:tcPr/>
          <w:p>
            <w:pPr>
              <w:pStyle w:val="Compact"/>
            </w:pPr>
          </w:p>
        </w:tc>
        <w:tc>
          <w:tcPr/>
          <w:p>
            <w:pPr>
              <w:pStyle w:val="Compact"/>
              <w:jc w:val="left"/>
            </w:pPr>
            <w:r>
              <w:t xml:space="preserve">Trend + BEUTI (a priori)</w:t>
            </w:r>
          </w:p>
        </w:tc>
        <w:tc>
          <w:tcPr/>
          <w:p>
            <w:pPr>
              <w:pStyle w:val="Compact"/>
              <w:jc w:val="left"/>
            </w:pPr>
            <w:r>
              <w:t xml:space="preserve">+0.04</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−0.19</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−0.92</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Five conclusions follow.</w:t>
      </w:r>
    </w:p>
    <w:p>
      <w:pPr>
        <w:numPr>
          <w:ilvl w:val="0"/>
          <w:numId w:val="1029"/>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9"/>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9"/>
        </w:numPr>
        <w:pStyle w:val="Compact"/>
      </w:pPr>
      <w:r>
        <w:rPr>
          <w:bCs/>
          <w:b/>
        </w:rPr>
        <w:t xml:space="preserve">What survives.</w:t>
      </w:r>
      <w:r>
        <w:t xml:space="preserve"> </w:t>
      </w:r>
      <w:r>
        <w:t xml:space="preserve">The a priori,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and it is borderline after multiplicity correction on the current vintage of the index. It did not depend on the 76 mm boundary: with the year-old cohort separated from the lengths it was the same size and slightly more precise (coastwide −0.70, Holm p = 0.014). The positive screen results were artefacts of a shared trend, since both BEUTI and recruit abundance increased over the period.</w:t>
      </w:r>
    </w:p>
    <w:p>
      <w:pPr>
        <w:numPr>
          <w:ilvl w:val="0"/>
          <w:numId w:val="1029"/>
        </w:numPr>
        <w:pStyle w:val="Compact"/>
      </w:pPr>
      <w:r>
        <w:rPr>
          <w:bCs/>
          <w:b/>
        </w:rPr>
        <w:t xml:space="preserve">What the wider search found.</w:t>
      </w:r>
      <w:r>
        <w:t xml:space="preserve"> </w:t>
      </w:r>
      <w:r>
        <w:t xml:space="preserve">Searching twelve series and 3,312 windows, calibrated against the same search in surrogate data, found nothing that passed family-wise control for either the size classes or the length-based year classes, and the candidate it selected forecast worse than climatology once selection was done honestly. The strongest in-sample candidates (upwelling in the spring before spawning, wave energy and storm hours) are the hypotheses worth carrying into the prospective test, not findings. The answer to</w:t>
      </w:r>
      <w:r>
        <w:t xml:space="preserve"> </w:t>
      </w:r>
      <w:r>
        <w:t xml:space="preserve">“</w:t>
      </w:r>
      <w:r>
        <w:t xml:space="preserve">which predictor best explains recruitment</w:t>
      </w:r>
      <w:r>
        <w:t xml:space="preserve">”</w:t>
      </w:r>
      <w:r>
        <w:t xml:space="preserve"> </w:t>
      </w:r>
      <w:r>
        <w:t xml:space="preserve">is therefore: none better than chance on this record, with BEUTI in the larval season the only a priori candidate with retrospective support.</w:t>
      </w:r>
    </w:p>
    <w:p>
      <w:pPr>
        <w:numPr>
          <w:ilvl w:val="0"/>
          <w:numId w:val="1029"/>
        </w:numPr>
        <w:pStyle w:val="Compact"/>
      </w:pPr>
      <w:r>
        <w:rPr>
          <w:bCs/>
          <w:b/>
        </w:rPr>
        <w:t xml:space="preserve">What the survey’s size classes measure.</w:t>
      </w:r>
      <w:r>
        <w:t xml:space="preserve"> </w:t>
      </w:r>
      <w:r>
        <w:t xml:space="preserve">The 76 mm boundary that defines pre-recruits and recruits is not a year-class boundary: the year-old cohort spans about 20–95 mm, a quarter of it is above 76 mm on average (two fifths at the August-surveyed Twin Harbors), and a third of the recruit class is year-old clams, while at Kalaloch, where growth is about half as fast, it is the two-year-olds that straddle the boundary. A growth-curve-informed length mixture separates the cohorts well enough that the year-old cohort at one survey predicts the two-year-olds at the next at every beach, including Twin Harbors where the size classes do not link. For the environmental question the two definitions gave the same answer, but for stock assessment the length-based year classes are the cleaner measure of year-class strength, and the mark-recapture growth curve, which the survey data corroborate at the two study beaches, cannot be applied to Kalaloch.</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30"/>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30"/>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30"/>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and adds no forecast skill. We therefore regard it as a hypothesis to be tested with independent data, not as an established driver. Survey years 2025–2027 provide the first such test under the prospective protocol (Section 4.5).</w:t>
      </w:r>
    </w:p>
    <w:bookmarkEnd w:id="36"/>
    <w:bookmarkStart w:id="37" w:name="the-beuti-trend-and-the-index-vintage"/>
    <w:p>
      <w:pPr>
        <w:pStyle w:val="Heading3"/>
      </w:pPr>
      <w:r>
        <w:t xml:space="preserve">4.3 The BEUTI trend and the index vintage</w:t>
      </w:r>
    </w:p>
    <w:p>
      <w:pPr>
        <w:pStyle w:val="FirstParagraph"/>
      </w:pPr>
      <w:r>
        <w:t xml:space="preserve">May–Aug BEUTI at 47°N increased about twelvefold over the record, far more than CUTI relative to its variability, implying a large increase in the nitrate concentration of upwelled water. Measured buoy winds reproduce CUTI’s interannual variation (r = 0.66–0.72) and its upward trend (about a fifth to a quarter of the mean per decade in both), so the transport component of the increase is real; they explain only a tenth of BEUTI’s detrended variance, and BEUTI’s trend is three times larger relative to its mean, so the nitrate component is not independently corroborated [</w:t>
      </w:r>
      <w:r>
        <w:rPr>
          <w:rStyle w:val="VerbatimChar"/>
        </w:rPr>
        <w:t xml:space="preserve">env_wind_vs_upwelling.csv</w:t>
      </w:r>
      <w:r>
        <w:t xml:space="preserve">]. The vintage of the index used here carries a level shift at 47°N at the 2010/2011 boundary of the underlying reanalysis (+1.2 units after trend, p = 0.03; none at 46°N), which the earlier vintage did not [</w:t>
      </w:r>
      <w:r>
        <w:rPr>
          <w:rStyle w:val="VerbatimChar"/>
        </w:rPr>
        <w:t xml:space="preserve">env_beuti_step_tests.csv</w:t>
      </w:r>
      <w:r>
        <w:t xml:space="preserve">,</w:t>
      </w:r>
      <w:r>
        <w:t xml:space="preserve"> </w:t>
      </w:r>
      <w:r>
        <w:rPr>
          <w:rStyle w:val="VerbatimChar"/>
        </w:rPr>
        <w:t xml:space="preserve">env_index_vintages.csv</w:t>
      </w:r>
      <w:r>
        <w:t xml:space="preserve">]. Before the trend is interpreted ecologically, the homogeneity of the index and the reason for the revision should be confirmed with its developers.</w:t>
      </w:r>
      <w:r>
        <w:t xml:space="preserve"> </w:t>
      </w:r>
      <w:r>
        <w:rPr>
          <w:bCs/>
          <w:b/>
        </w:rPr>
        <w:t xml:space="preserve">TODO:</w:t>
      </w:r>
      <w:r>
        <w:t xml:space="preserve"> </w:t>
      </w:r>
      <w:r>
        <w:t xml:space="preserve">contact the index authors. Our main inferences rely on detrended or differenced BEUTI, and the first-difference estimate is the strongest of all (−0.70, p &lt; 0.001), so a level shift does not create the association; the vintage sensitivity (Section 3.4) shows that the association keeps its sign and size under either vintage.</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For pre-recruit abundance one year earlier, no environmental model, a priori or searched, beat the beach mean out of sample. The practical message is that an environmental forecast of a razor clam year class is not available from this record, and that a candidate selected by searching will look better in hindsight than it performs.</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31"/>
        </w:numPr>
        <w:pStyle w:val="Compact"/>
      </w:pPr>
      <w:r>
        <w:rPr>
          <w:bCs/>
          <w:b/>
        </w:rPr>
        <w:t xml:space="preserve">Size classes are not year classes.</w:t>
      </w:r>
      <w:r>
        <w:t xml:space="preserve"> </w:t>
      </w:r>
      <w:r>
        <w:t xml:space="preserve">The year-old cohort spans about 20–95 mm, a quarter of it is above 76 mm on average and a third of the recruit class is year-old clams (Section 3.2), so environmental effects on growth can appear as effects on abundance in the size-class responses. The length-based year classes remove most of that confound and link better across surveys, and the a priori and exploratory results were the same under both definitions, so the conclusions do not depend on it. The separation has limits: it gives point shares without uncertainty; the two-year-old versus older split is weak; current-year settlers at the late surveys do not predict the next year’s year-olds, which points to post-settlement mortality or noisy settler counts; and the Kalaloch curve is empirical, from these surveys, in the absence of a growth study there.</w:t>
      </w:r>
    </w:p>
    <w:p>
      <w:pPr>
        <w:numPr>
          <w:ilvl w:val="0"/>
          <w:numId w:val="1031"/>
        </w:numPr>
        <w:pStyle w:val="Compact"/>
      </w:pPr>
      <w:r>
        <w:rPr>
          <w:bCs/>
          <w:b/>
        </w:rPr>
        <w:t xml:space="preserve">Observation error.</w:t>
      </w:r>
      <w:r>
        <w:t xml:space="preserve"> </w:t>
      </w:r>
      <w:r>
        <w:t xml:space="preserve">The abundance estimates have no published sampling variance; WDFW’s harvest-monitoring work quantifies the uncertainty of the harvest estimates but holds no stock-assessment variance [</w:t>
      </w:r>
      <w:r>
        <w:rPr>
          <w:rStyle w:val="VerbatimChar"/>
        </w:rPr>
        <w:t xml:space="preserve">docs/harvest-monitoring-review.md</w:t>
      </w:r>
      <w:r>
        <w:t xml:space="preserve">]. A two-stage (transects within beach, plots within transect) variance from the raw pumped-area counts is the direct route; process and observation error can then be separated in a state-space model.</w:t>
      </w:r>
      <w:r>
        <w:t xml:space="preserve"> </w:t>
      </w:r>
      <w:r>
        <w:rPr>
          <w:bCs/>
          <w:b/>
        </w:rPr>
        <w:t xml:space="preserve">TODO.</w:t>
      </w:r>
    </w:p>
    <w:p>
      <w:pPr>
        <w:numPr>
          <w:ilvl w:val="0"/>
          <w:numId w:val="1031"/>
        </w:numPr>
        <w:pStyle w:val="Compact"/>
      </w:pPr>
      <w:r>
        <w:rPr>
          <w:bCs/>
          <w:b/>
        </w:rPr>
        <w:t xml:space="preserve">Harvest.</w:t>
      </w:r>
      <w:r>
        <w:t xml:space="preserve"> </w:t>
      </w:r>
      <w:r>
        <w:t xml:space="preserve">Harvest between surveys (exploitation targets 16–40%) affects recruit abundance and the carry-over relationship. The protocol’s escapement model removes it; several harvest values in the season summary are under reconciliation with the harvest-monitoring record.</w:t>
      </w:r>
      <w:r>
        <w:t xml:space="preserve"> </w:t>
      </w:r>
      <w:r>
        <w:rPr>
          <w:bCs/>
          <w:b/>
        </w:rPr>
        <w:t xml:space="preserve">TODO.</w:t>
      </w:r>
    </w:p>
    <w:p>
      <w:pPr>
        <w:numPr>
          <w:ilvl w:val="0"/>
          <w:numId w:val="1031"/>
        </w:numPr>
        <w:pStyle w:val="Compact"/>
      </w:pPr>
      <w:r>
        <w:rPr>
          <w:bCs/>
          <w:b/>
        </w:rPr>
        <w:t xml:space="preserve">Environmental coverage.</w:t>
      </w:r>
      <w:r>
        <w:t xml:space="preserve"> </w:t>
      </w:r>
      <w:r>
        <w:t xml:space="preserve">Satellite SST, buoy winds and waves and lower-river gauges are now in the record and in the search. Still missing are plume salinity at Long Beach, nearshore temperature in the surf zone, and a transport index for larvae.</w:t>
      </w:r>
    </w:p>
    <w:p>
      <w:pPr>
        <w:numPr>
          <w:ilvl w:val="0"/>
          <w:numId w:val="1031"/>
        </w:numPr>
        <w:pStyle w:val="Compact"/>
      </w:pPr>
      <w:r>
        <w:rPr>
          <w:bCs/>
          <w:b/>
        </w:rPr>
        <w:t xml:space="preserve">Short record.</w:t>
      </w:r>
      <w:r>
        <w:t xml:space="preserve"> </w:t>
      </w:r>
      <w:r>
        <w:t xml:space="preserve">With about 27 independent year classes, power to detect moderate effects after multiplicity correction is limited; non-significant a priori predictors are not evidence of no effect, and a search of this size cannot resolve effects below about |r| = 0.65.</w:t>
      </w:r>
    </w:p>
    <w:p>
      <w:pPr>
        <w:numPr>
          <w:ilvl w:val="0"/>
          <w:numId w:val="1031"/>
        </w:numPr>
        <w:pStyle w:val="Compact"/>
      </w:pPr>
      <w:r>
        <w:rPr>
          <w:bCs/>
          <w:b/>
        </w:rPr>
        <w:t xml:space="preserve">Prospective test.</w:t>
      </w:r>
      <w:r>
        <w:t xml:space="preserve"> </w:t>
      </w:r>
      <w:r>
        <w:t xml:space="preserve">Forecasts are now issued under a fixed protocol with a ledger that is scored when each year’s estimates arrive (Section 2.5e;</w:t>
      </w:r>
      <w:r>
        <w:t xml:space="preserve"> </w:t>
      </w:r>
      <w:r>
        <w:rPr>
          <w:rStyle w:val="VerbatimChar"/>
        </w:rPr>
        <w:t xml:space="preserve">docs/forecast-protocol.md</w:t>
      </w:r>
      <w:r>
        <w:t xml:space="preserve">). The ledger holds survey 2025 (year class 2024), issued on 2 October 2026 from data through survey 2024 [</w:t>
      </w:r>
      <w:r>
        <w:rPr>
          <w:rStyle w:val="VerbatimChar"/>
        </w:rPr>
        <w:t xml:space="preserve">forecast_ledger.csv</w:t>
      </w:r>
      <w:r>
        <w:t xml:space="preserve">]: pre-recruits by climatology, trend, the a priori BEUTI model and the exploratory candidate (BEUTI Apr–Jul of Y−1 on the full record); recruits by climatology, persistence, carry-over and carry-over with escapement. The carry-over intervals are the narrowest, for example Copalis 5.4 million (2.5–11.9) and Mocrocks 6.9 million (3.4–13.7); the pre-recruit intervals span one to three orders of magnitude. Because the 2025 and 2026 surveys have already happened and WDFW holds their estimates, these forecasts are pseudo-prospective (the estimates have not entered the analysis, but the analysts are not blind to them); the first fully prospective target is survey 2027, to be issued in spring 2027 before the survey. Earlier proof-of-concept forecasts for 2025 made the same day are kept and will be scored alongside.</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Repeating the search over twelve environmental series with the search itself calibrated, and scoring its choice with selection repeated inside every training window, gave the same answer: no environmental predictor explains year-class strength better than chance on this record, and the one a priori association with retrospective support, larval-season upwelling, is negative, borderline after multiplicity correction and without forecast skill. Aligning analyses to year classes and actual survey dates, keeping a priori and exploratory arms apart, modelling trends and autocorrelation, calibrating the search, validating out of sample and committing to a scored prospective test changed both the strength and the direction of the conclusions. We recommend these practices for environment–recruitment analyses of short, autocorrelated monitoring series, and we regard the prospective ledger, not this retrospective record, as the test that will decide.</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2"/>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2"/>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2"/>
        </w:numPr>
        <w:pStyle w:val="Compact"/>
      </w:pPr>
      <w:r>
        <w:rPr>
          <w:bCs/>
          <w:b/>
        </w:rPr>
        <w:t xml:space="preserve">Public environmental data:</w:t>
      </w:r>
      <w:r>
        <w:t xml:space="preserve"> </w:t>
      </w:r>
      <w:r>
        <w:t xml:space="preserve">BEUTI/CUTI (Jacox et al. 2018; vintage created 2026-09-28, and the earlier vintage to 2025-04 used for the sensitivity analysis), NDBC buoys (temperature, winds, waves), USGS 14105700, 14246900 and 14211720, NCEI and PSL PDO, NOAA OISST v2.1 and JPL MUR via the CoastWatch ERDDAP. The fetch scripts and provenance files are in the repository (</w:t>
      </w:r>
      <w:r>
        <w:rPr>
          <w:rStyle w:val="VerbatimChar"/>
        </w:rPr>
        <w:t xml:space="preserve">01_code/R/acquire/</w:t>
      </w:r>
      <w:r>
        <w:t xml:space="preserve">,</w:t>
      </w:r>
      <w:r>
        <w:t xml:space="preserve"> </w:t>
      </w:r>
      <w:r>
        <w:rPr>
          <w:rStyle w:val="VerbatimChar"/>
        </w:rPr>
        <w:t xml:space="preserve">02_data/Environmental Data/external/</w:t>
      </w:r>
      <w:r>
        <w:t xml:space="preserve">).</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98"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5778500"/>
            <wp:effectExtent b="0" l="0" r="0" t="0"/>
            <wp:docPr descr="Fig. 9. Calibrated window scan for pre-recruits: detrended correlation of every 1–4 month window of twelve environmental series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Calibrated window scan for pre-recruits: detrended correlation of every 1–4 month window of twelve environmental series with the coastwide year-class index. No cell passes family-wise control.</w:t>
      </w:r>
    </w:p>
    <w:p>
      <w:pPr>
        <w:pStyle w:val="CaptionedFigure"/>
      </w:pPr>
      <w:r>
        <w:drawing>
          <wp:inline>
            <wp:extent cx="5334000" cy="2963333"/>
            <wp:effectExtent b="0" l="0" r="0" t="0"/>
            <wp:docPr descr="Fig. 10. Rolling-origin forecast skill relative to climatology in the original framework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in the original framework for leaky vs honest predictor selection, persistence, and stock carry-over.</w:t>
      </w:r>
    </w:p>
    <w:p>
      <w:pPr>
        <w:pStyle w:val="CaptionedFigure"/>
      </w:pPr>
      <w:r>
        <w:drawing>
          <wp:inline>
            <wp:extent cx="5334000" cy="3259666"/>
            <wp:effectExtent b="0" l="0" r="0" t="0"/>
            <wp:docPr descr="Fig. 11. Rolling-origin forecast skill for year-class pre-recruits: the exploratory candidate selected honestly inside each training window versus selected once on all years, against trend and a priori models." title="" id="75" name="Picture"/>
            <a:graphic>
              <a:graphicData uri="http://schemas.openxmlformats.org/drawingml/2006/picture">
                <pic:pic>
                  <pic:nvPicPr>
                    <pic:cNvPr descr="../03_analyses/robust-reanalysis/figures/fig_forecast_skill_cohort.png" id="76" name="Picture"/>
                    <pic:cNvPicPr>
                      <a:picLocks noChangeArrowheads="1" noChangeAspect="1"/>
                    </pic:cNvPicPr>
                  </pic:nvPicPr>
                  <pic:blipFill>
                    <a:blip r:embed="rId7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Rolling-origin forecast skill for year-class pre-recruits: the exploratory candidate selected honestly inside each training window versus selected once on all years, against trend and a priori models.</w:t>
      </w:r>
    </w:p>
    <w:p>
      <w:pPr>
        <w:pStyle w:val="CaptionedFigure"/>
      </w:pPr>
      <w:r>
        <w:drawing>
          <wp:inline>
            <wp:extent cx="5334000" cy="3733799"/>
            <wp:effectExtent b="0" l="0" r="0" t="0"/>
            <wp:docPr descr="Fig. 12. The year-old cohort’s length by survey date at each beach (kernel mode and mixture component per beach-year, with the settler component where present), against the WDFW growth curve with t₀ = 0 (dotted) and with t₀ fitted to the modes (solid) and to the mixture (dashed)." title="" id="78" name="Picture"/>
            <a:graphic>
              <a:graphicData uri="http://schemas.openxmlformats.org/drawingml/2006/picture">
                <pic:pic>
                  <pic:nvPicPr>
                    <pic:cNvPr descr="../03_analyses/robust-reanalysis/figures/fig_growth_curve_check.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rPr>
          <w:bCs/>
          <w:b/>
        </w:rPr>
        <w:t xml:space="preserve">Fig. 12.</w:t>
      </w:r>
      <w:r>
        <w:t xml:space="preserve"> </w:t>
      </w:r>
      <w:r>
        <w:t xml:space="preserve">The year-old cohort’s length by survey date at each beach (kernel mode and mixture component per beach-year, with the settler component where present), against the WDFW growth curve with t₀ = 0 (dotted) and with t₀ fitted to the modes (solid) and to the mixture (dashed).</w:t>
      </w:r>
    </w:p>
    <w:p>
      <w:pPr>
        <w:pStyle w:val="CaptionedFigure"/>
      </w:pPr>
      <w:r>
        <w:drawing>
          <wp:inline>
            <wp:extent cx="5334000" cy="2133599"/>
            <wp:effectExtent b="0" l="0" r="0" t="0"/>
            <wp:docPr descr="Fig. 13. Annual growth increments from year-class tracking: for each 10 mm length bin at survey t−1, the bin at survey t whose log numbers it predicts best (point size: correlation; grey: r &lt; 0.4, not used), against the WDFW curve (solid) and the curve used by the length mixture (dashed). The tracking reproduces the WDFW K at the two study beaches; Kalaloch grows about half as fast at a given length." title="" id="81" name="Picture"/>
            <a:graphic>
              <a:graphicData uri="http://schemas.openxmlformats.org/drawingml/2006/picture">
                <pic:pic>
                  <pic:nvPicPr>
                    <pic:cNvPr descr="../03_analyses/robust-reanalysis/figures/fig_growth_increments.png" id="82" name="Picture"/>
                    <pic:cNvPicPr>
                      <a:picLocks noChangeArrowheads="1" noChangeAspect="1"/>
                    </pic:cNvPicPr>
                  </pic:nvPicPr>
                  <pic:blipFill>
                    <a:blip r:embed="rId80"/>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rPr>
          <w:bCs/>
          <w:b/>
        </w:rPr>
        <w:t xml:space="preserve">Fig. 13.</w:t>
      </w:r>
      <w:r>
        <w:t xml:space="preserve"> </w:t>
      </w:r>
      <w:r>
        <w:t xml:space="preserve">Annual growth increments from year-class tracking: for each 10 mm length bin at survey t−1, the bin at survey t whose log numbers it predicts best (point size: correlation; grey: r &lt; 0.4, not used), against the WDFW curve (solid) and the curve used by the length mixture (dashed). The tracking reproduces the WDFW K at the two study beaches; Kalaloch grows about half as fast at a given length.</w:t>
      </w:r>
    </w:p>
    <w:p>
      <w:pPr>
        <w:pStyle w:val="CaptionedFigure"/>
      </w:pPr>
      <w:r>
        <w:drawing>
          <wp:inline>
            <wp:extent cx="5334000" cy="7334250"/>
            <wp:effectExtent b="0" l="0" r="0" t="0"/>
            <wp:docPr descr="Fig. 14. Growth-curve-informed length-mixture fits for one typical survey per beach (ordered by survey date): measured lengths (grey), fitted year-class components (settlers, the year-old cohort’s two or three components, two-year-olds, older), their sum (dotted), the fitted cohort boundaries (solid verticals) and the 76 mm boundary (dashed)." title="" id="84" name="Picture"/>
            <a:graphic>
              <a:graphicData uri="http://schemas.openxmlformats.org/drawingml/2006/picture">
                <pic:pic>
                  <pic:nvPicPr>
                    <pic:cNvPr descr="../03_analyses/robust-reanalysis/figures/fig_cohort_mixture_examples.png" id="85" name="Picture"/>
                    <pic:cNvPicPr>
                      <a:picLocks noChangeArrowheads="1" noChangeAspect="1"/>
                    </pic:cNvPicPr>
                  </pic:nvPicPr>
                  <pic:blipFill>
                    <a:blip r:embed="rId83"/>
                    <a:stretch>
                      <a:fillRect/>
                    </a:stretch>
                  </pic:blipFill>
                  <pic:spPr bwMode="auto">
                    <a:xfrm>
                      <a:off x="0" y="0"/>
                      <a:ext cx="5334000" cy="7334250"/>
                    </a:xfrm>
                    <a:prstGeom prst="rect">
                      <a:avLst/>
                    </a:prstGeom>
                    <a:noFill/>
                    <a:ln w="9525">
                      <a:noFill/>
                      <a:headEnd/>
                      <a:tailEnd/>
                    </a:ln>
                  </pic:spPr>
                </pic:pic>
              </a:graphicData>
            </a:graphic>
          </wp:inline>
        </w:drawing>
      </w:r>
    </w:p>
    <w:p>
      <w:pPr>
        <w:pStyle w:val="ImageCaption"/>
      </w:pPr>
      <w:r>
        <w:rPr>
          <w:bCs/>
          <w:b/>
        </w:rPr>
        <w:t xml:space="preserve">Fig. 14.</w:t>
      </w:r>
      <w:r>
        <w:t xml:space="preserve"> </w:t>
      </w:r>
      <w:r>
        <w:t xml:space="preserve">Growth-curve-informed length-mixture fits for one typical survey per beach (ordered by survey date): measured lengths (grey), fitted year-class components (settlers, the year-old cohort’s two or three components, two-year-olds, older), their sum (dotted), the fitted cohort boundaries (solid verticals) and the 76 mm boundary (dashed).</w:t>
      </w:r>
    </w:p>
    <w:p>
      <w:pPr>
        <w:pStyle w:val="CaptionedFigure"/>
      </w:pPr>
      <w:r>
        <w:drawing>
          <wp:inline>
            <wp:extent cx="5334000" cy="2453639"/>
            <wp:effectExtent b="0" l="0" r="0" t="0"/>
            <wp:docPr descr="Fig. 15. Fitted cohort boundaries for every beach-year by survey date, against the 76 mm boundary (dashed) and the growth curve for year-olds (dotted) and two-year-olds (solid)." title="" id="87" name="Picture"/>
            <a:graphic>
              <a:graphicData uri="http://schemas.openxmlformats.org/drawingml/2006/picture">
                <pic:pic>
                  <pic:nvPicPr>
                    <pic:cNvPr descr="../03_analyses/robust-reanalysis/figures/fig_cohort_separation_boundaries.png" id="88" name="Picture"/>
                    <pic:cNvPicPr>
                      <a:picLocks noChangeArrowheads="1" noChangeAspect="1"/>
                    </pic:cNvPicPr>
                  </pic:nvPicPr>
                  <pic:blipFill>
                    <a:blip r:embed="rId86"/>
                    <a:stretch>
                      <a:fillRect/>
                    </a:stretch>
                  </pic:blipFill>
                  <pic:spPr bwMode="auto">
                    <a:xfrm>
                      <a:off x="0" y="0"/>
                      <a:ext cx="5334000" cy="2453639"/>
                    </a:xfrm>
                    <a:prstGeom prst="rect">
                      <a:avLst/>
                    </a:prstGeom>
                    <a:noFill/>
                    <a:ln w="9525">
                      <a:noFill/>
                      <a:headEnd/>
                      <a:tailEnd/>
                    </a:ln>
                  </pic:spPr>
                </pic:pic>
              </a:graphicData>
            </a:graphic>
          </wp:inline>
        </w:drawing>
      </w:r>
    </w:p>
    <w:p>
      <w:pPr>
        <w:pStyle w:val="ImageCaption"/>
      </w:pPr>
      <w:r>
        <w:rPr>
          <w:bCs/>
          <w:b/>
        </w:rPr>
        <w:t xml:space="preserve">Fig. 15.</w:t>
      </w:r>
      <w:r>
        <w:t xml:space="preserve"> </w:t>
      </w:r>
      <w:r>
        <w:t xml:space="preserve">Fitted cohort boundaries for every beach-year by survey date, against the 76 mm boundary (dashed) and the growth curve for year-olds (dotted) and two-year-olds (solid).</w:t>
      </w:r>
    </w:p>
    <w:p>
      <w:pPr>
        <w:pStyle w:val="CaptionedFigure"/>
      </w:pPr>
      <w:r>
        <w:drawing>
          <wp:inline>
            <wp:extent cx="5334000" cy="1920239"/>
            <wp:effectExtent b="0" l="0" r="0" t="0"/>
            <wp:docPr descr="Fig. 16. Share of each 76 mm size class that belongs to another year class, by survey date: current-year settlers in the pre-recruit class (surveys from July), year-old clams in the recruit class, and the share of the year-old cohort above 76 mm." title="" id="90" name="Picture"/>
            <a:graphic>
              <a:graphicData uri="http://schemas.openxmlformats.org/drawingml/2006/picture">
                <pic:pic>
                  <pic:nvPicPr>
                    <pic:cNvPr descr="../03_analyses/robust-reanalysis/figures/fig_cohort_separation_shares.png" id="91" name="Picture"/>
                    <pic:cNvPicPr>
                      <a:picLocks noChangeArrowheads="1" noChangeAspect="1"/>
                    </pic:cNvPicPr>
                  </pic:nvPicPr>
                  <pic:blipFill>
                    <a:blip r:embed="rId89"/>
                    <a:stretch>
                      <a:fillRect/>
                    </a:stretch>
                  </pic:blipFill>
                  <pic:spPr bwMode="auto">
                    <a:xfrm>
                      <a:off x="0" y="0"/>
                      <a:ext cx="5334000" cy="1920239"/>
                    </a:xfrm>
                    <a:prstGeom prst="rect">
                      <a:avLst/>
                    </a:prstGeom>
                    <a:noFill/>
                    <a:ln w="9525">
                      <a:noFill/>
                      <a:headEnd/>
                      <a:tailEnd/>
                    </a:ln>
                  </pic:spPr>
                </pic:pic>
              </a:graphicData>
            </a:graphic>
          </wp:inline>
        </w:drawing>
      </w:r>
    </w:p>
    <w:p>
      <w:pPr>
        <w:pStyle w:val="ImageCaption"/>
      </w:pPr>
      <w:r>
        <w:rPr>
          <w:bCs/>
          <w:b/>
        </w:rPr>
        <w:t xml:space="preserve">Fig. 16.</w:t>
      </w:r>
      <w:r>
        <w:t xml:space="preserve"> </w:t>
      </w:r>
      <w:r>
        <w:t xml:space="preserve">Share of each 76 mm size class that belongs to another year class, by survey date: current-year settlers in the pre-recruit class (surveys from July), year-old clams in the recruit class, and the share of the year-old cohort above 76 mm.</w:t>
      </w:r>
    </w:p>
    <w:p>
      <w:pPr>
        <w:pStyle w:val="CaptionedFigure"/>
      </w:pPr>
      <w:r>
        <w:drawing>
          <wp:inline>
            <wp:extent cx="5334000" cy="1842654"/>
            <wp:effectExtent b="0" l="0" r="0" t="0"/>
            <wp:docPr descr="Fig. 17. Log year-old cohort (length-based) at survey t against log two-year-olds at survey t+1, with least-squares lines; crosses mark fits with fewer than 150 lengths or a Kolmogorov distance above 0.08." title="" id="93" name="Picture"/>
            <a:graphic>
              <a:graphicData uri="http://schemas.openxmlformats.org/drawingml/2006/picture">
                <pic:pic>
                  <pic:nvPicPr>
                    <pic:cNvPr descr="../03_analyses/robust-reanalysis/figures/fig_cohort_linkage_lengthbased.png" id="94" name="Picture"/>
                    <pic:cNvPicPr>
                      <a:picLocks noChangeArrowheads="1" noChangeAspect="1"/>
                    </pic:cNvPicPr>
                  </pic:nvPicPr>
                  <pic:blipFill>
                    <a:blip r:embed="rId92"/>
                    <a:stretch>
                      <a:fillRect/>
                    </a:stretch>
                  </pic:blipFill>
                  <pic:spPr bwMode="auto">
                    <a:xfrm>
                      <a:off x="0" y="0"/>
                      <a:ext cx="5334000" cy="1842654"/>
                    </a:xfrm>
                    <a:prstGeom prst="rect">
                      <a:avLst/>
                    </a:prstGeom>
                    <a:noFill/>
                    <a:ln w="9525">
                      <a:noFill/>
                      <a:headEnd/>
                      <a:tailEnd/>
                    </a:ln>
                  </pic:spPr>
                </pic:pic>
              </a:graphicData>
            </a:graphic>
          </wp:inline>
        </w:drawing>
      </w:r>
    </w:p>
    <w:p>
      <w:pPr>
        <w:pStyle w:val="ImageCaption"/>
      </w:pPr>
      <w:r>
        <w:rPr>
          <w:bCs/>
          <w:b/>
        </w:rPr>
        <w:t xml:space="preserve">Fig. 17.</w:t>
      </w:r>
      <w:r>
        <w:t xml:space="preserve"> </w:t>
      </w:r>
      <w:r>
        <w:t xml:space="preserve">Log year-old cohort (length-based) at survey t against log two-year-olds at survey t+1, with least-squares lines; crosses mark fits with fewer than 150 lengths or a Kolmogorov distance above 0.08.</w:t>
      </w:r>
    </w:p>
    <w:p>
      <w:pPr>
        <w:pStyle w:val="CaptionedFigure"/>
      </w:pPr>
      <w:r>
        <w:drawing>
          <wp:inline>
            <wp:extent cx="5334000" cy="2844799"/>
            <wp:effectExtent b="0" l="0" r="0" t="0"/>
            <wp:docPr descr="Fig. 18. Effects of the pre-specified predictors (per SD, 95% CI) with the 76 mm size classes (grey) and the length-based year classes (blue) as responses, all beaches (filled) and excluding Kalaloch (open)." title="" id="96" name="Picture"/>
            <a:graphic>
              <a:graphicData uri="http://schemas.openxmlformats.org/drawingml/2006/picture">
                <pic:pic>
                  <pic:nvPicPr>
                    <pic:cNvPr descr="../03_analyses/robust-reanalysis/figures/fig_confirmatory_lengthbased.png" id="97" name="Picture"/>
                    <pic:cNvPicPr>
                      <a:picLocks noChangeArrowheads="1" noChangeAspect="1"/>
                    </pic:cNvPicPr>
                  </pic:nvPicPr>
                  <pic:blipFill>
                    <a:blip r:embed="rId95"/>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18.</w:t>
      </w:r>
      <w:r>
        <w:t xml:space="preserve"> </w:t>
      </w:r>
      <w:r>
        <w:t xml:space="preserve">Effects of the pre-specified predictors (per SD, 95% CI) with the 76 mm size classes (grey) and the length-based year classes (blue) as responses, all beaches (filled) and excluding Kalaloch (open).</w:t>
      </w:r>
    </w:p>
    <w:bookmarkEnd w:id="98"/>
    <w:bookmarkStart w:id="99" w:name="supplementary-material-to-assemble"/>
    <w:p>
      <w:pPr>
        <w:pStyle w:val="Heading2"/>
      </w:pPr>
      <w:r>
        <w:t xml:space="preserve">Supplementary material (to assemble)</w:t>
      </w:r>
    </w:p>
    <w:p>
      <w:pPr>
        <w:numPr>
          <w:ilvl w:val="0"/>
          <w:numId w:val="1033"/>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3"/>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3"/>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3"/>
        </w:numPr>
        <w:pStyle w:val="Compact"/>
      </w:pPr>
      <w:r>
        <w:rPr>
          <w:bCs/>
          <w:b/>
        </w:rPr>
        <w:t xml:space="preserve">S4.</w:t>
      </w:r>
      <w:r>
        <w:t xml:space="preserve"> </w:t>
      </w:r>
      <w:r>
        <w:t xml:space="preserve">Window-scan results for recruits and the selection record of the honest search (</w:t>
      </w:r>
      <w:r>
        <w:rPr>
          <w:rStyle w:val="VerbatimChar"/>
        </w:rPr>
        <w:t xml:space="preserve">fig_window_scan_rec.png</w:t>
      </w:r>
      <w:r>
        <w:t xml:space="preserve">,</w:t>
      </w:r>
      <w:r>
        <w:t xml:space="preserve"> </w:t>
      </w:r>
      <w:r>
        <w:rPr>
          <w:rStyle w:val="VerbatimChar"/>
        </w:rPr>
        <w:t xml:space="preserve">window_scan_all.csv</w:t>
      </w:r>
      <w:r>
        <w:t xml:space="preserve">,</w:t>
      </w:r>
      <w:r>
        <w:t xml:space="preserve"> </w:t>
      </w:r>
      <w:r>
        <w:rPr>
          <w:rStyle w:val="VerbatimChar"/>
        </w:rPr>
        <w:t xml:space="preserve">window_scan_trend_attribution.csv</w:t>
      </w:r>
      <w:r>
        <w:t xml:space="preserve">,</w:t>
      </w:r>
      <w:r>
        <w:t xml:space="preserve"> </w:t>
      </w:r>
      <w:r>
        <w:rPr>
          <w:rStyle w:val="VerbatimChar"/>
        </w:rPr>
        <w:t xml:space="preserve">forecast_skill_cohort_selections.csv</w:t>
      </w:r>
      <w:r>
        <w:t xml:space="preserve">).</w:t>
      </w:r>
    </w:p>
    <w:p>
      <w:pPr>
        <w:numPr>
          <w:ilvl w:val="0"/>
          <w:numId w:val="1033"/>
        </w:numPr>
        <w:pStyle w:val="Compact"/>
      </w:pPr>
      <w:r>
        <w:rPr>
          <w:bCs/>
          <w:b/>
        </w:rPr>
        <w:t xml:space="preserve">S7.</w:t>
      </w:r>
      <w:r>
        <w:t xml:space="preserve"> </w:t>
      </w:r>
      <w:r>
        <w:t xml:space="preserve">Forecast protocol and ledger (</w:t>
      </w:r>
      <w:r>
        <w:rPr>
          <w:rStyle w:val="VerbatimChar"/>
        </w:rPr>
        <w:t xml:space="preserve">docs/forecast-protocol.md</w:t>
      </w:r>
      <w:r>
        <w:t xml:space="preserve">,</w:t>
      </w:r>
      <w:r>
        <w:t xml:space="preserve"> </w:t>
      </w:r>
      <w:r>
        <w:rPr>
          <w:rStyle w:val="VerbatimChar"/>
        </w:rPr>
        <w:t xml:space="preserve">forecast_ledger.csv</w:t>
      </w:r>
      <w:r>
        <w:t xml:space="preserve">,</w:t>
      </w:r>
      <w:r>
        <w:t xml:space="preserve"> </w:t>
      </w:r>
      <w:r>
        <w:rPr>
          <w:rStyle w:val="VerbatimChar"/>
        </w:rPr>
        <w:t xml:space="preserve">forecast_scores.csv</w:t>
      </w:r>
      <w:r>
        <w:t xml:space="preserve">).</w:t>
      </w:r>
    </w:p>
    <w:p>
      <w:pPr>
        <w:numPr>
          <w:ilvl w:val="0"/>
          <w:numId w:val="1033"/>
        </w:numPr>
        <w:pStyle w:val="Compact"/>
      </w:pPr>
      <w:r>
        <w:rPr>
          <w:bCs/>
          <w:b/>
        </w:rPr>
        <w:t xml:space="preserve">S8.</w:t>
      </w:r>
      <w:r>
        <w:t xml:space="preserve"> </w:t>
      </w:r>
      <w:r>
        <w:t xml:space="preserve">Cohort separation from the lengths: the length-group transition tables (</w:t>
      </w:r>
      <w:r>
        <w:rPr>
          <w:rStyle w:val="VerbatimChar"/>
        </w:rPr>
        <w:t xml:space="preserve">cohort_length_transitions.csv</w:t>
      </w:r>
      <w:r>
        <w:t xml:space="preserve">,</w:t>
      </w:r>
      <w:r>
        <w:t xml:space="preserve"> </w:t>
      </w:r>
      <w:r>
        <w:rPr>
          <w:rStyle w:val="VerbatimChar"/>
        </w:rPr>
        <w:t xml:space="preserve">cohort_length_transitions_by_beach.csv</w:t>
      </w:r>
      <w:r>
        <w:t xml:space="preserve">), growth increments from tracking (</w:t>
      </w:r>
      <w:r>
        <w:rPr>
          <w:rStyle w:val="VerbatimChar"/>
        </w:rPr>
        <w:t xml:space="preserve">cohort_growth_increments.csv</w:t>
      </w:r>
      <w:r>
        <w:t xml:space="preserve">,</w:t>
      </w:r>
      <w:r>
        <w:t xml:space="preserve"> </w:t>
      </w:r>
      <w:r>
        <w:rPr>
          <w:rStyle w:val="VerbatimChar"/>
        </w:rPr>
        <w:t xml:space="preserve">cohort_growth_increments_summary.csv</w:t>
      </w:r>
      <w:r>
        <w:t xml:space="preserve">), every beach-year’s mixture fit (</w:t>
      </w:r>
      <w:r>
        <w:rPr>
          <w:rStyle w:val="VerbatimChar"/>
        </w:rPr>
        <w:t xml:space="preserve">cohort_separation_by_year.csv</w:t>
      </w:r>
      <w:r>
        <w:t xml:space="preserve">), the summary by beach (</w:t>
      </w:r>
      <w:r>
        <w:rPr>
          <w:rStyle w:val="VerbatimChar"/>
        </w:rPr>
        <w:t xml:space="preserve">cohort_separation_summary.csv</w:t>
      </w:r>
      <w:r>
        <w:t xml:space="preserve">), the size classes beside the length-based year classes (</w:t>
      </w:r>
      <w:r>
        <w:rPr>
          <w:rStyle w:val="VerbatimChar"/>
        </w:rPr>
        <w:t xml:space="preserve">fig_yearclass_abundance.png</w:t>
      </w:r>
      <w:r>
        <w:t xml:space="preserve">), and the length-based window scans and skill test (</w:t>
      </w:r>
      <w:r>
        <w:rPr>
          <w:rStyle w:val="VerbatimChar"/>
        </w:rPr>
        <w:t xml:space="preserve">fig_window_scan_yc1.png</w:t>
      </w:r>
      <w:r>
        <w:t xml:space="preserve">,</w:t>
      </w:r>
      <w:r>
        <w:t xml:space="preserve"> </w:t>
      </w:r>
      <w:r>
        <w:rPr>
          <w:rStyle w:val="VerbatimChar"/>
        </w:rPr>
        <w:t xml:space="preserve">fig_window_scan_yc2.png</w:t>
      </w:r>
      <w:r>
        <w:t xml:space="preserve">,</w:t>
      </w:r>
      <w:r>
        <w:t xml:space="preserve"> </w:t>
      </w:r>
      <w:r>
        <w:rPr>
          <w:rStyle w:val="VerbatimChar"/>
        </w:rPr>
        <w:t xml:space="preserve">fig_forecast_skill_cohort_lengthbased.png</w:t>
      </w:r>
      <w:r>
        <w:t xml:space="preserve">,</w:t>
      </w:r>
      <w:r>
        <w:t xml:space="preserve"> </w:t>
      </w:r>
      <w:r>
        <w:rPr>
          <w:rStyle w:val="VerbatimChar"/>
        </w:rPr>
        <w:t xml:space="preserve">*_lengthbased.csv</w:t>
      </w:r>
      <w:r>
        <w:t xml:space="preserve">).</w:t>
      </w:r>
    </w:p>
    <w:p>
      <w:pPr>
        <w:numPr>
          <w:ilvl w:val="0"/>
          <w:numId w:val="1033"/>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pPr>
        <w:numPr>
          <w:ilvl w:val="0"/>
          <w:numId w:val="1033"/>
        </w:numPr>
        <w:pStyle w:val="Compact"/>
      </w:pPr>
      <w:r>
        <w:rPr>
          <w:bCs/>
          <w:b/>
        </w:rPr>
        <w:t xml:space="preserve">S6.</w:t>
      </w:r>
      <w:r>
        <w:t xml:space="preserve"> </w:t>
      </w:r>
      <w:r>
        <w:t xml:space="preserve">Environmental-record diagnostics: coverage, legacy station-blend offsets, alternative SST constructions including satellite products, BEUTI/CUTI homogeneity, index vintages, buoy winds and waves against the indices, lower-river gauges (</w:t>
      </w:r>
      <w:r>
        <w:rPr>
          <w:rStyle w:val="VerbatimChar"/>
        </w:rPr>
        <w:t xml:space="preserve">docs/environmental-record-options.md</w:t>
      </w:r>
      <w:r>
        <w:t xml:space="preserve">;</w:t>
      </w:r>
      <w:r>
        <w:t xml:space="preserve"> </w:t>
      </w:r>
      <w:r>
        <w:rPr>
          <w:rStyle w:val="VerbatimChar"/>
        </w:rPr>
        <w:t xml:space="preserve">fig_env_coverage.png</w:t>
      </w:r>
      <w:r>
        <w:t xml:space="preserve">,</w:t>
      </w:r>
      <w:r>
        <w:t xml:space="preserve"> </w:t>
      </w:r>
      <w:r>
        <w:rPr>
          <w:rStyle w:val="VerbatimChar"/>
        </w:rPr>
        <w:t xml:space="preserve">fig_legacy_idw_vs_homogenized.png</w:t>
      </w:r>
      <w:r>
        <w:t xml:space="preserve">,</w:t>
      </w:r>
      <w:r>
        <w:t xml:space="preserve"> </w:t>
      </w:r>
      <w:r>
        <w:rPr>
          <w:rStyle w:val="VerbatimChar"/>
        </w:rPr>
        <w:t xml:space="preserve">fig_sst_homogenization.png</w:t>
      </w:r>
      <w:r>
        <w:t xml:space="preserve">,</w:t>
      </w:r>
      <w:r>
        <w:t xml:space="preserve"> </w:t>
      </w:r>
      <w:r>
        <w:rPr>
          <w:rStyle w:val="VerbatimChar"/>
        </w:rPr>
        <w:t xml:space="preserve">fig_beuti_homogeneity.png</w:t>
      </w:r>
      <w:r>
        <w:t xml:space="preserve">,</w:t>
      </w:r>
      <w:r>
        <w:t xml:space="preserve"> </w:t>
      </w:r>
      <w:r>
        <w:rPr>
          <w:rStyle w:val="VerbatimChar"/>
        </w:rPr>
        <w:t xml:space="preserve">fig_index_vintages.png</w:t>
      </w:r>
      <w:r>
        <w:t xml:space="preserve">,</w:t>
      </w:r>
      <w:r>
        <w:t xml:space="preserve"> </w:t>
      </w:r>
      <w:r>
        <w:rPr>
          <w:rStyle w:val="VerbatimChar"/>
        </w:rPr>
        <w:t xml:space="preserve">fig_wind_vs_upwelling.png</w:t>
      </w:r>
      <w:r>
        <w:t xml:space="preserve">;</w:t>
      </w:r>
      <w:r>
        <w:t xml:space="preserve"> </w:t>
      </w:r>
      <w:r>
        <w:rPr>
          <w:rStyle w:val="VerbatimChar"/>
        </w:rPr>
        <w:t xml:space="preserve">env_*.csv</w:t>
      </w:r>
      <w:r>
        <w:t xml:space="preserve">).</w:t>
      </w:r>
    </w:p>
    <w:p>
      <w:r>
        <w:pict>
          <v:rect style="width:0;height:1.5pt" o:hralign="center" o:hrstd="t" o:hr="t"/>
        </w:pict>
      </w:r>
    </w:p>
    <w:bookmarkEnd w:id="99"/>
    <w:bookmarkStart w:id="100" w:name="references"/>
    <w:p>
      <w:pPr>
        <w:pStyle w:val="Heading2"/>
      </w:pPr>
      <w:r>
        <w:t xml:space="preserve">References</w:t>
      </w:r>
    </w:p>
    <w:p>
      <w:pPr>
        <w:numPr>
          <w:ilvl w:val="0"/>
          <w:numId w:val="1034"/>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4"/>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4"/>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4"/>
        </w:numPr>
        <w:pStyle w:val="Compact"/>
      </w:pPr>
      <w:r>
        <w:t xml:space="preserve">Cheng YW, Ayres D (2008) Modelling the growth of razor clam (</w:t>
      </w:r>
      <w:r>
        <w:rPr>
          <w:iCs/>
          <w:i/>
        </w:rPr>
        <w:t xml:space="preserve">Siliqua patula</w:t>
      </w:r>
      <w:r>
        <w:t xml:space="preserve">) in Washington State coast. Unpublished draft, Washington Department of Fish and Wildlife, Olympia. Deposited in the project repository (</w:t>
      </w:r>
      <w:r>
        <w:rPr>
          <w:rStyle w:val="VerbatimChar"/>
        </w:rPr>
        <w:t xml:space="preserve">docs/references/</w:t>
      </w:r>
      <w:r>
        <w:t xml:space="preserve">)</w:t>
      </w:r>
      <w:r>
        <w:t xml:space="preserve"> </w:t>
      </w:r>
      <w:r>
        <w:rPr>
          <w:bCs/>
          <w:b/>
        </w:rPr>
        <w:t xml:space="preserve">[V]</w:t>
      </w:r>
      <w:r>
        <w:t xml:space="preserve"> </w:t>
      </w:r>
      <w:r>
        <w:t xml:space="preserve">(read in full; authorship confirmed by the authors’ agency)</w:t>
      </w:r>
    </w:p>
    <w:p>
      <w:pPr>
        <w:numPr>
          <w:ilvl w:val="0"/>
          <w:numId w:val="1034"/>
        </w:numPr>
        <w:pStyle w:val="Compact"/>
      </w:pPr>
      <w:r>
        <w:t xml:space="preserve">Cheng YW, Kuk AYC (2002) Determination of the unknown age at first capture of western rock lobsters (</w:t>
      </w:r>
      <w:r>
        <w:rPr>
          <w:iCs/>
          <w:i/>
        </w:rPr>
        <w:t xml:space="preserve">Panulirus cygnus</w:t>
      </w:r>
      <w:r>
        <w:t xml:space="preserve">) by random effects model.</w:t>
      </w:r>
      <w:r>
        <w:t xml:space="preserve"> </w:t>
      </w:r>
      <w:r>
        <w:rPr>
          <w:iCs/>
          <w:i/>
        </w:rPr>
        <w:t xml:space="preserve">Biometrics</w:t>
      </w:r>
      <w:r>
        <w:t xml:space="preserve"> </w:t>
      </w:r>
      <w:r>
        <w:t xml:space="preserve">58:459–462. https://doi.org/10.1111/j.0006-341x.2002.00459.x</w:t>
      </w:r>
      <w:r>
        <w:t xml:space="preserve"> </w:t>
      </w:r>
      <w:r>
        <w:rPr>
          <w:bCs/>
          <w:b/>
        </w:rPr>
        <w:t xml:space="preserve">[V]</w:t>
      </w:r>
      <w:r>
        <w:t xml:space="preserve"> </w:t>
      </w:r>
      <w:r>
        <w:t xml:space="preserve">(Crossref record; full text to check)</w:t>
      </w:r>
    </w:p>
    <w:p>
      <w:pPr>
        <w:numPr>
          <w:ilvl w:val="0"/>
          <w:numId w:val="1034"/>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4"/>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4"/>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4"/>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4"/>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4"/>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4"/>
        </w:numPr>
        <w:pStyle w:val="Compact"/>
      </w:pPr>
      <w:r>
        <w:t xml:space="preserve">Macdonald PDM, Pitcher TJ (1979) Age-groups from size-frequency data: a versatile and efficient method of analyzing distribution mixtures.</w:t>
      </w:r>
      <w:r>
        <w:t xml:space="preserve"> </w:t>
      </w:r>
      <w:r>
        <w:rPr>
          <w:iCs/>
          <w:i/>
        </w:rPr>
        <w:t xml:space="preserve">Journal of the Fisheries Research Board of Canada</w:t>
      </w:r>
      <w:r>
        <w:t xml:space="preserve"> </w:t>
      </w:r>
      <w:r>
        <w:t xml:space="preserve">36:987–1001</w:t>
      </w:r>
      <w:r>
        <w:t xml:space="preserve"> </w:t>
      </w:r>
      <w:r>
        <w:rPr>
          <w:bCs/>
          <w:b/>
        </w:rPr>
        <w:t xml:space="preserve">[C]</w:t>
      </w:r>
    </w:p>
    <w:p>
      <w:pPr>
        <w:numPr>
          <w:ilvl w:val="0"/>
          <w:numId w:val="1034"/>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4"/>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4"/>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4"/>
        </w:numPr>
        <w:pStyle w:val="Compact"/>
      </w:pPr>
      <w:r>
        <w:t xml:space="preserve">Pinheiro J, Bates D, R Core Team. nlme: Linear and nonlinear mixed effects models. R package</w:t>
      </w:r>
      <w:r>
        <w:t xml:space="preserve"> </w:t>
      </w:r>
      <w:r>
        <w:rPr>
          <w:bCs/>
          <w:b/>
        </w:rPr>
        <w:t xml:space="preserve">[C]</w:t>
      </w:r>
    </w:p>
    <w:p>
      <w:pPr>
        <w:numPr>
          <w:ilvl w:val="0"/>
          <w:numId w:val="1034"/>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4"/>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4"/>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4"/>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4"/>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4"/>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4"/>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4"/>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62" Target="media/rId62.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2026-10-17T22:44:56Z</dcterms:created>
  <dcterms:modified xsi:type="dcterms:W3CDTF">2026-10-17T22:44:56Z</dcterms:modified>
</cp:coreProperties>
</file>

<file path=docProps/custom.xml><?xml version="1.0" encoding="utf-8"?>
<Properties xmlns="http://schemas.openxmlformats.org/officeDocument/2006/custom-properties" xmlns:vt="http://schemas.openxmlformats.org/officeDocument/2006/docPropsVTypes"/>
</file>