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aps/>
          <w:color w:val="1E96C0"/>
          <w:sz w:val="20"/>
          <w:szCs w:val="20"/>
        </w:rPr>
        <w:t xml:space="preserve">Lodging Tax (LTAC) Funding Request — Draft</w:t>
      </w:r>
    </w:p>
    <w:p>
      <w:pPr>
        <w:spacing w:after="40"/>
      </w:pPr>
      <w:r>
        <w:rPr>
          <w:b/>
          <w:bCs/>
          <w:color w:val="324A6D"/>
          <w:sz w:val="40"/>
          <w:szCs w:val="40"/>
        </w:rPr>
        <w:t xml:space="preserve">Explore Kingston: in-app parking payment &amp; visitor-data integration</w:t>
      </w:r>
    </w:p>
    <w:p>
      <w:pPr>
        <w:pBdr>
          <w:bottom w:val="single" w:color="1E96C0" w:sz="12" w:space="4"/>
        </w:pBdr>
        <w:spacing w:after="160"/>
      </w:pPr>
    </w:p>
    <w:p>
      <w:pPr>
        <w:spacing w:after="40"/>
      </w:pPr>
      <w:r>
        <w:rPr>
          <w:color w:val="6B7280"/>
          <w:sz w:val="20"/>
          <w:szCs w:val="20"/>
        </w:rPr>
        <w:t xml:space="preserve">Applicant:  Greater Kingston Chamber of Commerce (501(c)(6) tourism-promotion organization)</w:t>
      </w:r>
    </w:p>
    <w:p>
      <w:pPr>
        <w:spacing w:after="40"/>
      </w:pPr>
      <w:r>
        <w:rPr>
          <w:color w:val="6B7280"/>
          <w:sz w:val="20"/>
          <w:szCs w:val="20"/>
        </w:rPr>
        <w:t xml:space="preserve">Submitted to:  Kitsap County Lodging Tax Advisory Committee</w:t>
      </w:r>
    </w:p>
    <w:p>
      <w:pPr>
        <w:spacing w:after="40"/>
      </w:pPr>
      <w:r>
        <w:rPr>
          <w:color w:val="6B7280"/>
          <w:sz w:val="20"/>
          <w:szCs w:val="20"/>
        </w:rPr>
        <w:t xml:space="preserve">Date:  [Date]  ·  Amount requested:  $[amount — to be scoped with vendor]</w:t>
      </w:r>
    </w:p>
    <w:p>
      <w:pPr>
        <w:spacing w:after="120"/>
      </w:pPr>
    </w:p>
    <w:p>
      <w:pPr>
        <w:pStyle w:val="Heading1"/>
        <w:spacing w:after="100" w:before="240"/>
      </w:pPr>
      <w:r>
        <w:rPr>
          <w:b/>
          <w:bCs/>
          <w:color w:val="324A6D"/>
          <w:sz w:val="28"/>
          <w:szCs w:val="28"/>
        </w:rPr>
        <w:t xml:space="preserve">Request in brief</w:t>
      </w:r>
    </w:p>
    <w:p>
      <w:pPr>
        <w:spacing w:after="120" w:line="276"/>
      </w:pPr>
      <w:r>
        <w:rPr>
          <w:sz w:val="22"/>
          <w:szCs w:val="22"/>
        </w:rPr>
        <w:t xml:space="preserve">The Greater Kingston Chamber of Commerce requests </w:t>
      </w:r>
      <w:r>
        <w:rPr>
          <w:b/>
          <w:bCs/>
          <w:sz w:val="22"/>
          <w:szCs w:val="22"/>
        </w:rPr>
        <w:t xml:space="preserve">$[amount]</w:t>
      </w:r>
      <w:r>
        <w:rPr>
          <w:sz w:val="22"/>
          <w:szCs w:val="22"/>
        </w:rPr>
        <w:t xml:space="preserve"> in lodging-tax funds to add in-app parking payment and visitor-activity reporting to </w:t>
      </w:r>
      <w:r>
        <w:rPr>
          <w:b/>
          <w:bCs/>
          <w:sz w:val="22"/>
          <w:szCs w:val="22"/>
        </w:rPr>
        <w:t xml:space="preserve">Explore Kingston</w:t>
      </w:r>
      <w:r>
        <w:rPr>
          <w:sz w:val="22"/>
          <w:szCs w:val="22"/>
        </w:rPr>
        <w:t xml:space="preserve">, the Chamber's free visitor web app. The feature makes paying for Kingston parking one tap for ferry visitors and produces first-party data on visitor volume that strengthens the Chamber's required LTAC reporting. A free first version ships at no cost to the fund; these dollars cover the deeper, data-producing integration with the Port of Kingston's parking vendor.</w:t>
      </w:r>
    </w:p>
    <w:p>
      <w:pPr>
        <w:pStyle w:val="Heading1"/>
        <w:spacing w:after="100" w:before="240"/>
      </w:pPr>
      <w:r>
        <w:rPr>
          <w:b/>
          <w:bCs/>
          <w:color w:val="324A6D"/>
          <w:sz w:val="28"/>
          <w:szCs w:val="28"/>
        </w:rPr>
        <w:t xml:space="preserve">Background</w:t>
      </w:r>
    </w:p>
    <w:p>
      <w:pPr>
        <w:spacing w:after="120" w:line="276"/>
      </w:pPr>
      <w:r>
        <w:rPr>
          <w:sz w:val="22"/>
          <w:szCs w:val="22"/>
        </w:rPr>
        <w:t xml:space="preserve">Explore Kingston is a mobile-first web app for the visitors who arrive on the Edmonds–Kingston ferry. It maps parking, ferry times, dining, and events. </w:t>
      </w:r>
      <w:r>
        <w:rPr>
          <w:b/>
          <w:bCs/>
          <w:sz w:val="22"/>
          <w:szCs w:val="22"/>
        </w:rPr>
        <w:t xml:space="preserve">Parking is one of the most common visitor pain points</w:t>
      </w:r>
      <w:r>
        <w:rPr>
          <w:sz w:val="22"/>
          <w:szCs w:val="22"/>
        </w:rPr>
        <w:t xml:space="preserve">: several lots, more than one operator, and pay-by-text codes on signs that are easy to miss. The app already guides visitors to pay; this request makes it effortless and, importantly, measurable.</w:t>
      </w:r>
    </w:p>
    <w:p>
      <w:pPr>
        <w:pStyle w:val="Heading1"/>
        <w:spacing w:after="100" w:before="240"/>
      </w:pPr>
      <w:r>
        <w:rPr>
          <w:b/>
          <w:bCs/>
          <w:color w:val="324A6D"/>
          <w:sz w:val="28"/>
          <w:szCs w:val="28"/>
        </w:rPr>
        <w:t xml:space="preserve">What the funds do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  <w:sz w:val="22"/>
          <w:szCs w:val="22"/>
        </w:rPr>
        <w:t xml:space="preserve">Phase 1 — already delivered, $0: </w:t>
      </w:r>
      <w:r>
        <w:rPr>
          <w:sz w:val="22"/>
          <w:szCs w:val="22"/>
        </w:rPr>
        <w:t xml:space="preserve">a "Pay now" button that opens the visitor's phone to the correct pay method for each lot. No cost to the fund.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  <w:sz w:val="22"/>
          <w:szCs w:val="22"/>
        </w:rPr>
        <w:t xml:space="preserve">Phase 2 — this request: </w:t>
      </w:r>
      <w:r>
        <w:rPr>
          <w:sz w:val="22"/>
          <w:szCs w:val="22"/>
        </w:rPr>
        <w:t xml:space="preserve">a sponsored integration with the Port of Kingston's parking vendor (T2 Systems) enabling smoother in-app payment and — the part that matters for LTAC — app-attributed reporting of parking sessions (how many visitors, when, and which lots). This requires the Port to sponsor the vendor integration; the Chamber is coordinating that step.</w:t>
      </w:r>
    </w:p>
    <w:p>
      <w:pPr>
        <w:pStyle w:val="Heading1"/>
        <w:spacing w:after="100" w:before="240"/>
      </w:pPr>
      <w:r>
        <w:rPr>
          <w:b/>
          <w:bCs/>
          <w:color w:val="324A6D"/>
          <w:sz w:val="28"/>
          <w:szCs w:val="28"/>
        </w:rPr>
        <w:t xml:space="preserve">Tourism benefit and outcomes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sz w:val="22"/>
          <w:szCs w:val="22"/>
        </w:rPr>
        <w:t xml:space="preserve">Improves the visitor experience — an easier arrival makes visitors more likely to stay, return, and recommend Kingston.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sz w:val="22"/>
          <w:szCs w:val="22"/>
        </w:rPr>
        <w:t xml:space="preserve">Produces measurable visitor-activity data: app-driven parking sessions by date and lot, a usable proxy for day-visitor volume.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sz w:val="22"/>
          <w:szCs w:val="22"/>
        </w:rPr>
        <w:t xml:space="preserve">Directly supports the estimated-traveler reporting that lodging-tax recipients must provide (RCW 67.28.1816).</w:t>
      </w:r>
    </w:p>
    <w:p>
      <w:pPr>
        <w:spacing w:after="120" w:line="276"/>
      </w:pPr>
      <w:r>
        <w:rPr>
          <w:i/>
          <w:iCs/>
          <w:sz w:val="22"/>
          <w:szCs w:val="22"/>
        </w:rPr>
        <w:t xml:space="preserve">Proposed metrics: app-referred parking sessions, unique app users, and seasonal visitor trends — reported each cycle.</w:t>
      </w:r>
    </w:p>
    <w:p>
      <w:pPr>
        <w:pStyle w:val="Heading1"/>
        <w:spacing w:after="100" w:before="240"/>
      </w:pPr>
      <w:r>
        <w:rPr>
          <w:b/>
          <w:bCs/>
          <w:color w:val="324A6D"/>
          <w:sz w:val="28"/>
          <w:szCs w:val="28"/>
        </w:rPr>
        <w:t xml:space="preserve">Allowable use</w:t>
      </w:r>
    </w:p>
    <w:p>
      <w:pPr>
        <w:spacing w:after="120" w:line="276"/>
      </w:pPr>
      <w:r>
        <w:rPr>
          <w:sz w:val="22"/>
          <w:szCs w:val="22"/>
        </w:rPr>
        <w:t xml:space="preserve">Lodging-tax funds may be used for tourism marketing and for the marketing and operations of tourism-promotion activities by a tourism-promotion agency (RCW 67.28.1816). Explore Kingston is a tourism-marketing tool operated by the Chamber, a 501(c)(6) tourism-promotion organization; this request funds a visitor-experience and marketing-data feature of that tool, and the visitor data it produces feeds the Chamber's required LTAC reporting.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Note: </w:t>
      </w:r>
      <w:r>
        <w:rPr>
          <w:i/>
          <w:iCs/>
          <w:sz w:val="22"/>
          <w:szCs w:val="22"/>
        </w:rPr>
        <w:t xml:space="preserve">the Chamber will confirm the exact expenditure category and eligibility with the Kitsap County LTAC administrator before formal submission.</w:t>
      </w:r>
    </w:p>
    <w:p>
      <w:pPr>
        <w:pStyle w:val="Heading1"/>
        <w:spacing w:after="100" w:before="240"/>
      </w:pPr>
      <w:r>
        <w:rPr>
          <w:b/>
          <w:bCs/>
          <w:color w:val="324A6D"/>
          <w:sz w:val="28"/>
          <w:szCs w:val="28"/>
        </w:rPr>
        <w:t xml:space="preserve">Budget (draft)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rPr>
          <w:tblHeader/>
        </w:trPr>
        <w:tc>
          <w:tcPr>
            <w:tcW w:type="dxa" w:w="6360"/>
            <w:shd w:fill="EA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Line item</w:t>
            </w:r>
          </w:p>
        </w:tc>
        <w:tc>
          <w:tcPr>
            <w:tcW w:type="dxa" w:w="3000"/>
            <w:shd w:fill="EAF4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Estimated cost</w:t>
            </w:r>
          </w:p>
        </w:tc>
      </w:tr>
      <w:tr>
        <w:tc>
          <w:tcPr>
            <w:tcW w:type="dxa" w:w="63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Vendor integration setup &amp; fees (T2, sponsored by the Port)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$[TBD]</w:t>
            </w:r>
          </w:p>
        </w:tc>
      </w:tr>
      <w:tr>
        <w:tc>
          <w:tcPr>
            <w:tcW w:type="dxa" w:w="63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Development &amp; testing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$[TBD]</w:t>
            </w:r>
          </w:p>
        </w:tc>
      </w:tr>
      <w:tr>
        <w:tc>
          <w:tcPr>
            <w:tcW w:type="dxa" w:w="63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Contingency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$[TBD]</w:t>
            </w:r>
          </w:p>
        </w:tc>
      </w:tr>
      <w:tr>
        <w:tc>
          <w:tcPr>
            <w:tcW w:type="dxa" w:w="63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Total requested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$[TBD]</w:t>
            </w:r>
          </w:p>
        </w:tc>
      </w:tr>
    </w:tbl>
    <w:p>
      <w:pPr>
        <w:spacing w:after="120" w:before="100"/>
      </w:pPr>
      <w:r>
        <w:rPr>
          <w:i/>
          <w:iCs/>
          <w:color w:val="6B7280"/>
          <w:sz w:val="20"/>
          <w:szCs w:val="20"/>
        </w:rPr>
        <w:t xml:space="preserve">Phase 1 ("Pay now" out-links) has already been delivered at $0 and is not part of this request.</w:t>
      </w:r>
    </w:p>
    <w:p>
      <w:pPr>
        <w:pStyle w:val="Heading1"/>
        <w:spacing w:after="100" w:before="240"/>
      </w:pPr>
      <w:r>
        <w:rPr>
          <w:b/>
          <w:bCs/>
          <w:color w:val="324A6D"/>
          <w:sz w:val="28"/>
          <w:szCs w:val="28"/>
        </w:rPr>
        <w:t xml:space="preserve">Timeline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sz w:val="22"/>
          <w:szCs w:val="22"/>
        </w:rPr>
        <w:t xml:space="preserve">[Quarter/Year]: confirm Port + T2 sponsorship and scope; obtain a firm vendor quote.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sz w:val="22"/>
          <w:szCs w:val="22"/>
        </w:rPr>
        <w:t xml:space="preserve">[Quarter/Year]: development and testing.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sz w:val="22"/>
          <w:szCs w:val="22"/>
        </w:rPr>
        <w:t xml:space="preserve">[Quarter/Year]: launch, followed by the first visitor-data reporting cycle.</w:t>
      </w:r>
    </w:p>
    <w:p>
      <w:pPr>
        <w:pStyle w:val="Heading1"/>
        <w:spacing w:after="100" w:before="240"/>
      </w:pPr>
      <w:r>
        <w:rPr>
          <w:b/>
          <w:bCs/>
          <w:color w:val="324A6D"/>
          <w:sz w:val="28"/>
          <w:szCs w:val="28"/>
        </w:rPr>
        <w:t xml:space="preserve">Contact</w:t>
      </w:r>
    </w:p>
    <w:p>
      <w:pPr>
        <w:spacing w:after="120" w:line="276"/>
      </w:pPr>
      <w:r>
        <w:rPr>
          <w:sz w:val="22"/>
          <w:szCs w:val="22"/>
        </w:rPr>
        <w:t xml:space="preserve">[Name], [title], Greater Kingston Chamber of Commerce — [email] / [phone].</w:t>
      </w:r>
    </w:p>
    <w:p>
      <w:pPr>
        <w:pBdr>
          <w:top w:val="single" w:color="CCCCCC" w:sz="6" w:space="6"/>
        </w:pBdr>
        <w:spacing w:before="260"/>
      </w:pPr>
      <w:r>
        <w:rPr>
          <w:i/>
          <w:iCs/>
          <w:color w:val="6B7280"/>
          <w:sz w:val="18"/>
          <w:szCs w:val="18"/>
        </w:rPr>
        <w:t xml:space="preserve">Draft — bracketed items are placeholders. Confirm the allowable-use category and dollar amounts with the Kitsap County LTAC administrator before submission. Not legal or financial advice.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2026-07-04T05:37:05.552Z</dcterms:created>
  <dcterms:modified xsi:type="dcterms:W3CDTF">2026-07-04T05:37:05.552Z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