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500" w:val="left" w:leader="none"/>
        </w:tabs>
        <w:spacing w:before="67"/>
        <w:ind w:left="936" w:right="3140" w:firstLine="0"/>
        <w:jc w:val="left"/>
        <w:rPr>
          <w:rFonts w:ascii="Arial" w:hAnsi="Arial"/>
          <w:sz w:val="19"/>
        </w:rPr>
      </w:pPr>
      <w:r>
        <w:rPr>
          <w:rFonts w:ascii="Arial" w:hAnsi="Arial"/>
          <w:sz w:val="1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484505</wp:posOffset>
            </wp:positionH>
            <wp:positionV relativeFrom="paragraph">
              <wp:posOffset>76835</wp:posOffset>
            </wp:positionV>
            <wp:extent cx="401320" cy="20065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200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19"/>
        </w:rPr>
        <w:t>Innovation, Sciences et</w:t>
        <w:tab/>
        <w:t>Innovation, Science and Développement économique Canada</w:t>
        <w:tab/>
        <w:t>Economic Development Canada</w:t>
      </w:r>
    </w:p>
    <w:p>
      <w:pPr>
        <w:tabs>
          <w:tab w:pos="4500" w:val="left" w:leader="none"/>
        </w:tabs>
        <w:spacing w:before="58"/>
        <w:ind w:left="936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sz w:val="12"/>
        </w:rPr>
        <w:t>Office</w:t>
      </w:r>
      <w:r>
        <w:rPr>
          <w:rFonts w:ascii="Arial" w:hAnsi="Arial"/>
          <w:spacing w:val="16"/>
          <w:sz w:val="12"/>
        </w:rPr>
        <w:t> </w:t>
      </w:r>
      <w:r>
        <w:rPr>
          <w:rFonts w:ascii="Arial" w:hAnsi="Arial"/>
          <w:sz w:val="12"/>
        </w:rPr>
        <w:t>de</w:t>
      </w:r>
      <w:r>
        <w:rPr>
          <w:rFonts w:ascii="Arial" w:hAnsi="Arial"/>
          <w:spacing w:val="18"/>
          <w:sz w:val="12"/>
        </w:rPr>
        <w:t> </w:t>
      </w:r>
      <w:r>
        <w:rPr>
          <w:rFonts w:ascii="Arial" w:hAnsi="Arial"/>
          <w:sz w:val="12"/>
        </w:rPr>
        <w:t>la</w:t>
      </w:r>
      <w:r>
        <w:rPr>
          <w:rFonts w:ascii="Arial" w:hAnsi="Arial"/>
          <w:spacing w:val="17"/>
          <w:sz w:val="12"/>
        </w:rPr>
        <w:t> </w:t>
      </w:r>
      <w:r>
        <w:rPr>
          <w:rFonts w:ascii="Arial" w:hAnsi="Arial"/>
          <w:sz w:val="12"/>
        </w:rPr>
        <w:t>propriété</w:t>
      </w:r>
      <w:r>
        <w:rPr>
          <w:rFonts w:ascii="Arial" w:hAnsi="Arial"/>
          <w:spacing w:val="16"/>
          <w:sz w:val="12"/>
        </w:rPr>
        <w:t> </w:t>
      </w:r>
      <w:r>
        <w:rPr>
          <w:rFonts w:ascii="Arial" w:hAnsi="Arial"/>
          <w:sz w:val="12"/>
        </w:rPr>
        <w:t>intellectuelle</w:t>
      </w:r>
      <w:r>
        <w:rPr>
          <w:rFonts w:ascii="Arial" w:hAnsi="Arial"/>
          <w:spacing w:val="18"/>
          <w:sz w:val="12"/>
        </w:rPr>
        <w:t> </w:t>
      </w:r>
      <w:r>
        <w:rPr>
          <w:rFonts w:ascii="Arial" w:hAnsi="Arial"/>
          <w:sz w:val="12"/>
        </w:rPr>
        <w:t>du</w:t>
      </w:r>
      <w:r>
        <w:rPr>
          <w:rFonts w:ascii="Arial" w:hAnsi="Arial"/>
          <w:spacing w:val="17"/>
          <w:sz w:val="12"/>
        </w:rPr>
        <w:t> </w:t>
      </w:r>
      <w:r>
        <w:rPr>
          <w:rFonts w:ascii="Arial" w:hAnsi="Arial"/>
          <w:spacing w:val="-2"/>
          <w:sz w:val="12"/>
        </w:rPr>
        <w:t>Canada</w:t>
      </w:r>
      <w:r>
        <w:rPr>
          <w:rFonts w:ascii="Arial" w:hAnsi="Arial"/>
          <w:sz w:val="12"/>
        </w:rPr>
        <w:tab/>
        <w:t>Canadian</w:t>
      </w:r>
      <w:r>
        <w:rPr>
          <w:rFonts w:ascii="Arial" w:hAnsi="Arial"/>
          <w:spacing w:val="21"/>
          <w:sz w:val="12"/>
        </w:rPr>
        <w:t> </w:t>
      </w:r>
      <w:r>
        <w:rPr>
          <w:rFonts w:ascii="Arial" w:hAnsi="Arial"/>
          <w:sz w:val="12"/>
        </w:rPr>
        <w:t>Intellectual</w:t>
      </w:r>
      <w:r>
        <w:rPr>
          <w:rFonts w:ascii="Arial" w:hAnsi="Arial"/>
          <w:spacing w:val="25"/>
          <w:sz w:val="12"/>
        </w:rPr>
        <w:t> </w:t>
      </w:r>
      <w:r>
        <w:rPr>
          <w:rFonts w:ascii="Arial" w:hAnsi="Arial"/>
          <w:sz w:val="12"/>
        </w:rPr>
        <w:t>Property</w:t>
      </w:r>
      <w:r>
        <w:rPr>
          <w:rFonts w:ascii="Arial" w:hAnsi="Arial"/>
          <w:spacing w:val="27"/>
          <w:sz w:val="12"/>
        </w:rPr>
        <w:t> </w:t>
      </w:r>
      <w:r>
        <w:rPr>
          <w:rFonts w:ascii="Arial" w:hAnsi="Arial"/>
          <w:spacing w:val="-2"/>
          <w:sz w:val="12"/>
        </w:rPr>
        <w:t>Office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footerReference w:type="default" r:id="rId5"/>
          <w:type w:val="continuous"/>
          <w:pgSz w:w="12240" w:h="15840"/>
          <w:pgMar w:header="0" w:footer="634" w:top="280" w:bottom="820" w:left="720" w:right="1080"/>
          <w:pgNumType w:start="1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5"/>
        <w:rPr>
          <w:rFonts w:ascii="Arial"/>
          <w:sz w:val="20"/>
        </w:rPr>
      </w:pPr>
    </w:p>
    <w:p>
      <w:pPr>
        <w:spacing w:line="187" w:lineRule="auto" w:before="0"/>
        <w:ind w:left="703" w:right="0" w:firstLine="0"/>
        <w:jc w:val="left"/>
        <w:rPr>
          <w:sz w:val="20"/>
        </w:rPr>
      </w:pPr>
      <w:r>
        <w:rPr>
          <w:sz w:val="20"/>
        </w:rPr>
        <w:t>BAKER</w:t>
      </w:r>
      <w:r>
        <w:rPr>
          <w:spacing w:val="-13"/>
          <w:sz w:val="20"/>
        </w:rPr>
        <w:t> </w:t>
      </w:r>
      <w:r>
        <w:rPr>
          <w:sz w:val="20"/>
        </w:rPr>
        <w:t>&amp;</w:t>
      </w:r>
      <w:r>
        <w:rPr>
          <w:spacing w:val="-12"/>
          <w:sz w:val="20"/>
        </w:rPr>
        <w:t> </w:t>
      </w:r>
      <w:r>
        <w:rPr>
          <w:sz w:val="20"/>
        </w:rPr>
        <w:t>MCKENZIE</w:t>
      </w:r>
      <w:r>
        <w:rPr>
          <w:spacing w:val="-13"/>
          <w:sz w:val="20"/>
        </w:rPr>
        <w:t> </w:t>
      </w:r>
      <w:r>
        <w:rPr>
          <w:sz w:val="20"/>
        </w:rPr>
        <w:t>LLP BROOKFIELD PLACE</w:t>
      </w:r>
    </w:p>
    <w:p>
      <w:pPr>
        <w:spacing w:line="165" w:lineRule="exact" w:before="0"/>
        <w:ind w:left="703" w:right="0" w:firstLine="0"/>
        <w:jc w:val="left"/>
        <w:rPr>
          <w:sz w:val="20"/>
        </w:rPr>
      </w:pPr>
      <w:r>
        <w:rPr>
          <w:sz w:val="20"/>
        </w:rPr>
        <w:t>181</w:t>
      </w:r>
      <w:r>
        <w:rPr>
          <w:spacing w:val="-5"/>
          <w:sz w:val="20"/>
        </w:rPr>
        <w:t> </w:t>
      </w:r>
      <w:r>
        <w:rPr>
          <w:sz w:val="20"/>
        </w:rPr>
        <w:t>BAY</w:t>
      </w:r>
      <w:r>
        <w:rPr>
          <w:spacing w:val="-5"/>
          <w:sz w:val="20"/>
        </w:rPr>
        <w:t> </w:t>
      </w:r>
      <w:r>
        <w:rPr>
          <w:sz w:val="20"/>
        </w:rPr>
        <w:t>STREET,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2100</w:t>
      </w:r>
    </w:p>
    <w:p>
      <w:pPr>
        <w:spacing w:line="187" w:lineRule="auto" w:before="17"/>
        <w:ind w:left="703" w:right="888" w:firstLine="0"/>
        <w:jc w:val="left"/>
        <w:rPr>
          <w:sz w:val="20"/>
        </w:rPr>
      </w:pPr>
      <w:r>
        <w:rPr>
          <w:sz w:val="20"/>
        </w:rPr>
        <w:t>P.O. BOX 874 </w:t>
      </w:r>
      <w:r>
        <w:rPr>
          <w:spacing w:val="-2"/>
          <w:sz w:val="20"/>
        </w:rPr>
        <w:t>TORONTO </w:t>
      </w:r>
      <w:r>
        <w:rPr>
          <w:sz w:val="20"/>
        </w:rPr>
        <w:t>ONTARIO</w:t>
      </w:r>
      <w:r>
        <w:rPr>
          <w:spacing w:val="-13"/>
          <w:sz w:val="20"/>
        </w:rPr>
        <w:t> </w:t>
      </w:r>
      <w:r>
        <w:rPr>
          <w:sz w:val="20"/>
        </w:rPr>
        <w:t>M5J</w:t>
      </w:r>
      <w:r>
        <w:rPr>
          <w:spacing w:val="-12"/>
          <w:sz w:val="20"/>
        </w:rPr>
        <w:t> </w:t>
      </w:r>
      <w:r>
        <w:rPr>
          <w:sz w:val="20"/>
        </w:rPr>
        <w:t>2T3</w:t>
      </w:r>
    </w:p>
    <w:p>
      <w:pPr>
        <w:spacing w:line="191" w:lineRule="exact" w:before="0"/>
        <w:ind w:left="703" w:right="0" w:firstLine="0"/>
        <w:jc w:val="left"/>
        <w:rPr>
          <w:sz w:val="20"/>
        </w:rPr>
      </w:pPr>
      <w:r>
        <w:rPr>
          <w:sz w:val="20"/>
          <w:u w:val="single"/>
        </w:rPr>
        <w:t>Attention: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Stephanie</w:t>
      </w:r>
      <w:r>
        <w:rPr>
          <w:spacing w:val="-5"/>
          <w:sz w:val="20"/>
          <w:u w:val="single"/>
        </w:rPr>
        <w:t> </w:t>
      </w:r>
      <w:r>
        <w:rPr>
          <w:spacing w:val="-2"/>
          <w:sz w:val="20"/>
          <w:u w:val="single"/>
        </w:rPr>
        <w:t>Vaccari</w:t>
      </w:r>
    </w:p>
    <w:p>
      <w:pPr>
        <w:spacing w:before="91"/>
        <w:ind w:left="234" w:right="1" w:firstLine="0"/>
        <w:jc w:val="center"/>
        <w:rPr>
          <w:sz w:val="20"/>
        </w:rPr>
      </w:pPr>
      <w:r>
        <w:rPr/>
        <w:br w:type="column"/>
      </w:r>
      <w:r>
        <w:rPr>
          <w:sz w:val="20"/>
        </w:rPr>
        <w:t>7</w:t>
      </w:r>
      <w:r>
        <w:rPr>
          <w:spacing w:val="-2"/>
          <w:sz w:val="20"/>
        </w:rPr>
        <w:t> </w:t>
      </w:r>
      <w:r>
        <w:rPr>
          <w:sz w:val="20"/>
        </w:rPr>
        <w:t>avr/Apr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2026</w:t>
      </w:r>
    </w:p>
    <w:p>
      <w:pPr>
        <w:spacing w:before="0"/>
        <w:ind w:left="234" w:right="0" w:firstLine="0"/>
        <w:jc w:val="center"/>
        <w:rPr>
          <w:rFonts w:ascii="Arial" w:hAnsi="Arial"/>
          <w:i/>
          <w:sz w:val="12"/>
        </w:rPr>
      </w:pPr>
      <w:r>
        <w:rPr>
          <w:rFonts w:ascii="Arial" w:hAnsi="Arial"/>
          <w:i/>
          <w:sz w:val="12"/>
        </w:rPr>
        <w:t>Votre</w:t>
      </w:r>
      <w:r>
        <w:rPr>
          <w:rFonts w:ascii="Arial" w:hAnsi="Arial"/>
          <w:i/>
          <w:spacing w:val="-9"/>
          <w:sz w:val="12"/>
        </w:rPr>
        <w:t> </w:t>
      </w:r>
      <w:r>
        <w:rPr>
          <w:rFonts w:ascii="Arial" w:hAnsi="Arial"/>
          <w:i/>
          <w:sz w:val="12"/>
        </w:rPr>
        <w:t>référence</w:t>
      </w:r>
      <w:r>
        <w:rPr>
          <w:rFonts w:ascii="Arial" w:hAnsi="Arial"/>
          <w:i/>
          <w:spacing w:val="49"/>
          <w:sz w:val="12"/>
        </w:rPr>
        <w:t> </w:t>
      </w:r>
      <w:r>
        <w:rPr>
          <w:rFonts w:ascii="Arial" w:hAnsi="Arial"/>
          <w:i/>
          <w:sz w:val="12"/>
        </w:rPr>
        <w:t>Your</w:t>
      </w:r>
      <w:r>
        <w:rPr>
          <w:rFonts w:ascii="Arial" w:hAnsi="Arial"/>
          <w:i/>
          <w:spacing w:val="-8"/>
          <w:sz w:val="12"/>
        </w:rPr>
        <w:t> </w:t>
      </w:r>
      <w:r>
        <w:rPr>
          <w:rFonts w:ascii="Arial" w:hAnsi="Arial"/>
          <w:i/>
          <w:spacing w:val="-4"/>
          <w:sz w:val="12"/>
        </w:rPr>
        <w:t>File</w:t>
      </w:r>
    </w:p>
    <w:p>
      <w:pPr>
        <w:pStyle w:val="BodyText"/>
        <w:spacing w:before="94"/>
        <w:rPr>
          <w:rFonts w:ascii="Arial"/>
          <w:i/>
          <w:sz w:val="12"/>
        </w:rPr>
      </w:pPr>
    </w:p>
    <w:p>
      <w:pPr>
        <w:spacing w:line="138" w:lineRule="exact" w:before="0"/>
        <w:ind w:left="232" w:right="0" w:firstLine="0"/>
        <w:jc w:val="center"/>
        <w:rPr>
          <w:rFonts w:ascii="Arial" w:hAnsi="Arial"/>
          <w:i/>
          <w:sz w:val="12"/>
        </w:rPr>
      </w:pPr>
      <w:r>
        <w:rPr>
          <w:rFonts w:ascii="Arial" w:hAnsi="Arial"/>
          <w:i/>
          <w:sz w:val="12"/>
        </w:rPr>
        <w:t>Notre</w:t>
      </w:r>
      <w:r>
        <w:rPr>
          <w:rFonts w:ascii="Arial" w:hAnsi="Arial"/>
          <w:i/>
          <w:spacing w:val="-8"/>
          <w:sz w:val="12"/>
        </w:rPr>
        <w:t> </w:t>
      </w:r>
      <w:r>
        <w:rPr>
          <w:rFonts w:ascii="Arial" w:hAnsi="Arial"/>
          <w:i/>
          <w:sz w:val="12"/>
        </w:rPr>
        <w:t>référence</w:t>
      </w:r>
      <w:r>
        <w:rPr>
          <w:rFonts w:ascii="Arial" w:hAnsi="Arial"/>
          <w:i/>
          <w:spacing w:val="50"/>
          <w:sz w:val="12"/>
        </w:rPr>
        <w:t> </w:t>
      </w:r>
      <w:r>
        <w:rPr>
          <w:rFonts w:ascii="Arial" w:hAnsi="Arial"/>
          <w:i/>
          <w:sz w:val="12"/>
        </w:rPr>
        <w:t>Our</w:t>
      </w:r>
      <w:r>
        <w:rPr>
          <w:rFonts w:ascii="Arial" w:hAnsi="Arial"/>
          <w:i/>
          <w:spacing w:val="-7"/>
          <w:sz w:val="12"/>
        </w:rPr>
        <w:t> </w:t>
      </w:r>
      <w:r>
        <w:rPr>
          <w:rFonts w:ascii="Arial" w:hAnsi="Arial"/>
          <w:i/>
          <w:spacing w:val="-4"/>
          <w:sz w:val="12"/>
        </w:rPr>
        <w:t>File</w:t>
      </w:r>
    </w:p>
    <w:p>
      <w:pPr>
        <w:spacing w:line="230" w:lineRule="exact" w:before="0"/>
        <w:ind w:left="234" w:right="3" w:firstLine="0"/>
        <w:jc w:val="center"/>
        <w:rPr>
          <w:sz w:val="20"/>
        </w:rPr>
      </w:pPr>
      <w:r>
        <w:rPr>
          <w:spacing w:val="-2"/>
          <w:sz w:val="20"/>
        </w:rPr>
        <w:t>2405210</w:t>
      </w:r>
    </w:p>
    <w:p>
      <w:pPr>
        <w:pStyle w:val="BodyText"/>
        <w:ind w:left="703"/>
        <w:rPr>
          <w:sz w:val="20"/>
        </w:rPr>
      </w:pPr>
      <w:r>
        <w:rPr>
          <w:sz w:val="20"/>
        </w:rPr>
        <w:drawing>
          <wp:inline distT="0" distB="0" distL="0" distR="0">
            <wp:extent cx="1441737" cy="42329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737" cy="42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634" w:top="280" w:bottom="820" w:left="720" w:right="1080"/>
          <w:cols w:num="2" w:equalWidth="0">
            <w:col w:w="3413" w:space="3583"/>
            <w:col w:w="3444"/>
          </w:cols>
        </w:sectPr>
      </w:pP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466102</wp:posOffset>
                </wp:positionH>
                <wp:positionV relativeFrom="page">
                  <wp:posOffset>682625</wp:posOffset>
                </wp:positionV>
                <wp:extent cx="6861809" cy="508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61809" cy="50800"/>
                          <a:chExt cx="6861809" cy="50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400"/>
                            <a:ext cx="686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809" h="0">
                                <a:moveTo>
                                  <a:pt x="0" y="0"/>
                                </a:moveTo>
                                <a:lnTo>
                                  <a:pt x="6861797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45649" y="25400"/>
                            <a:ext cx="321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275" h="0">
                                <a:moveTo>
                                  <a:pt x="0" y="0"/>
                                </a:moveTo>
                                <a:lnTo>
                                  <a:pt x="3216148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17529" y="25400"/>
                            <a:ext cx="2144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4395" h="0">
                                <a:moveTo>
                                  <a:pt x="0" y="0"/>
                                </a:moveTo>
                                <a:lnTo>
                                  <a:pt x="2144267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B1B1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89917" y="25400"/>
                            <a:ext cx="1071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0">
                                <a:moveTo>
                                  <a:pt x="0" y="0"/>
                                </a:moveTo>
                                <a:lnTo>
                                  <a:pt x="1071879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01pt;margin-top:53.75pt;width:540.3pt;height:4pt;mso-position-horizontal-relative:page;mso-position-vertical-relative:page;z-index:15729664" id="docshapegroup2" coordorigin="734,1075" coordsize="10806,80">
                <v:line style="position:absolute" from="734,1115" to="11540,1115" stroked="true" strokeweight="4pt" strokecolor="#1a1a1a">
                  <v:stroke dashstyle="solid"/>
                </v:line>
                <v:line style="position:absolute" from="6475,1115" to="11540,1115" stroked="true" strokeweight="4pt" strokecolor="#808080">
                  <v:stroke dashstyle="solid"/>
                </v:line>
                <v:line style="position:absolute" from="8163,1115" to="11540,1115" stroked="true" strokeweight="4pt" strokecolor="#b1b1b1">
                  <v:stroke dashstyle="solid"/>
                </v:line>
                <v:line style="position:absolute" from="9852,1115" to="11540,1115" stroked="true" strokeweight="4pt" strokecolor="#ebebeb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6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1839"/>
        <w:gridCol w:w="4065"/>
      </w:tblGrid>
      <w:tr>
        <w:trPr>
          <w:trHeight w:val="456" w:hRule="atLeast"/>
        </w:trPr>
        <w:tc>
          <w:tcPr>
            <w:tcW w:w="700" w:type="dxa"/>
          </w:tcPr>
          <w:p>
            <w:pPr>
              <w:pStyle w:val="TableParagraph"/>
              <w:spacing w:line="244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RE:</w:t>
            </w:r>
          </w:p>
        </w:tc>
        <w:tc>
          <w:tcPr>
            <w:tcW w:w="1839" w:type="dxa"/>
          </w:tcPr>
          <w:p>
            <w:pPr>
              <w:pStyle w:val="TableParagraph"/>
              <w:spacing w:line="221" w:lineRule="exact"/>
              <w:ind w:left="307"/>
              <w:rPr>
                <w:sz w:val="20"/>
              </w:rPr>
            </w:pPr>
            <w:r>
              <w:rPr>
                <w:spacing w:val="-2"/>
                <w:sz w:val="20"/>
              </w:rPr>
              <w:t>Trademark:</w:t>
            </w:r>
          </w:p>
        </w:tc>
        <w:tc>
          <w:tcPr>
            <w:tcW w:w="4065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ProControl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Herc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Rentals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(Upper/Lower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Case)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Oval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</w:tr>
      <w:tr>
        <w:trPr>
          <w:trHeight w:val="225" w:hRule="atLeast"/>
        </w:trPr>
        <w:tc>
          <w:tcPr>
            <w:tcW w:w="700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839" w:type="dxa"/>
          </w:tcPr>
          <w:p>
            <w:pPr>
              <w:pStyle w:val="TableParagraph"/>
              <w:ind w:left="307"/>
              <w:rPr>
                <w:sz w:val="20"/>
              </w:rPr>
            </w:pPr>
            <w:r>
              <w:rPr>
                <w:spacing w:val="-2"/>
                <w:sz w:val="20"/>
              </w:rPr>
              <w:t>Applicant:</w:t>
            </w:r>
          </w:p>
        </w:tc>
        <w:tc>
          <w:tcPr>
            <w:tcW w:w="40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BUILD,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LLC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182624</wp:posOffset>
                </wp:positionV>
                <wp:extent cx="59817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446" y="9144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379844pt;width:470.98pt;height:.72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ind w:left="720" w:right="607"/>
        <w:jc w:val="both"/>
      </w:pPr>
      <w:r>
        <w:rPr/>
        <w:t>This</w:t>
      </w:r>
      <w:r>
        <w:rPr>
          <w:spacing w:val="-2"/>
        </w:rPr>
        <w:t> </w:t>
      </w:r>
      <w:r>
        <w:rPr/>
        <w:t>examiner's</w:t>
      </w:r>
      <w:r>
        <w:rPr>
          <w:spacing w:val="-3"/>
        </w:rPr>
        <w:t> </w:t>
      </w:r>
      <w:r>
        <w:rPr/>
        <w:t>report</w:t>
      </w:r>
      <w:r>
        <w:rPr>
          <w:spacing w:val="-2"/>
        </w:rPr>
        <w:t> </w:t>
      </w:r>
      <w:r>
        <w:rPr/>
        <w:t>concerns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above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application.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abandonment</w:t>
      </w:r>
      <w:r>
        <w:rPr>
          <w:spacing w:val="-2"/>
        </w:rPr>
        <w:t> </w:t>
      </w:r>
      <w:r>
        <w:rPr/>
        <w:t>proceedings,</w:t>
      </w:r>
      <w:r>
        <w:rPr>
          <w:spacing w:val="-3"/>
        </w:rPr>
        <w:t> </w:t>
      </w:r>
      <w:r>
        <w:rPr/>
        <w:t>a proper response</w:t>
      </w:r>
      <w:r>
        <w:rPr>
          <w:spacing w:val="-2"/>
        </w:rPr>
        <w:t> </w:t>
      </w:r>
      <w:r>
        <w:rPr/>
        <w:t>must be</w:t>
      </w:r>
      <w:r>
        <w:rPr>
          <w:spacing w:val="-2"/>
        </w:rPr>
        <w:t> </w:t>
      </w:r>
      <w:r>
        <w:rPr/>
        <w:t>received by</w:t>
      </w:r>
      <w:r>
        <w:rPr>
          <w:spacing w:val="-2"/>
        </w:rPr>
        <w:t> </w:t>
      </w:r>
      <w:r>
        <w:rPr/>
        <w:t>this office by October 7,</w:t>
      </w:r>
      <w:r>
        <w:rPr>
          <w:spacing w:val="-3"/>
        </w:rPr>
        <w:t> </w:t>
      </w:r>
      <w:r>
        <w:rPr/>
        <w:t>2026. All</w:t>
      </w:r>
      <w:r>
        <w:rPr>
          <w:spacing w:val="-2"/>
        </w:rPr>
        <w:t> </w:t>
      </w:r>
      <w:r>
        <w:rPr/>
        <w:t>correspondence</w:t>
      </w:r>
      <w:r>
        <w:rPr>
          <w:spacing w:val="-2"/>
        </w:rPr>
        <w:t> </w:t>
      </w:r>
      <w:r>
        <w:rPr/>
        <w:t>respecting this application must indicate the file number.</w:t>
      </w:r>
    </w:p>
    <w:p>
      <w:pPr>
        <w:pStyle w:val="BodyText"/>
        <w:spacing w:before="108"/>
      </w:pPr>
    </w:p>
    <w:p>
      <w:pPr>
        <w:pStyle w:val="Title"/>
        <w:rPr>
          <w:u w:val="none"/>
        </w:rPr>
      </w:pPr>
      <w:r>
        <w:rPr>
          <w:u w:val="single"/>
        </w:rPr>
        <w:t>Goods,</w:t>
      </w:r>
      <w:r>
        <w:rPr>
          <w:spacing w:val="-5"/>
          <w:u w:val="single"/>
        </w:rPr>
        <w:t> </w:t>
      </w:r>
      <w:r>
        <w:rPr>
          <w:u w:val="single"/>
        </w:rPr>
        <w:t>Services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Nice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classification:</w:t>
      </w:r>
    </w:p>
    <w:p>
      <w:pPr>
        <w:pStyle w:val="BodyText"/>
        <w:spacing w:before="155"/>
        <w:rPr>
          <w:b/>
        </w:rPr>
      </w:pPr>
    </w:p>
    <w:p>
      <w:pPr>
        <w:pStyle w:val="BodyText"/>
        <w:spacing w:line="276" w:lineRule="auto"/>
        <w:ind w:left="720" w:right="420"/>
      </w:pP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>
          <w:u w:val="single"/>
        </w:rPr>
        <w:t>underlined</w:t>
      </w:r>
      <w:r>
        <w:rPr>
          <w:spacing w:val="-1"/>
          <w:u w:val="none"/>
        </w:rPr>
        <w:t> </w:t>
      </w:r>
      <w:r>
        <w:rPr>
          <w:u w:val="none"/>
        </w:rPr>
        <w:t>goods</w:t>
      </w:r>
      <w:r>
        <w:rPr>
          <w:spacing w:val="-2"/>
          <w:u w:val="none"/>
        </w:rPr>
        <w:t> </w:t>
      </w:r>
      <w:r>
        <w:rPr>
          <w:u w:val="none"/>
        </w:rPr>
        <w:t>and</w:t>
      </w:r>
      <w:r>
        <w:rPr>
          <w:spacing w:val="-2"/>
          <w:u w:val="none"/>
        </w:rPr>
        <w:t> </w:t>
      </w:r>
      <w:r>
        <w:rPr>
          <w:u w:val="none"/>
        </w:rPr>
        <w:t>services</w:t>
      </w:r>
      <w:r>
        <w:rPr>
          <w:spacing w:val="-4"/>
          <w:u w:val="none"/>
        </w:rPr>
        <w:t> </w:t>
      </w:r>
      <w:r>
        <w:rPr>
          <w:u w:val="none"/>
        </w:rPr>
        <w:t>are</w:t>
      </w:r>
      <w:r>
        <w:rPr>
          <w:spacing w:val="-2"/>
          <w:u w:val="none"/>
        </w:rPr>
        <w:t> </w:t>
      </w:r>
      <w:r>
        <w:rPr>
          <w:u w:val="none"/>
        </w:rPr>
        <w:t>not</w:t>
      </w:r>
      <w:r>
        <w:rPr>
          <w:spacing w:val="-3"/>
          <w:u w:val="none"/>
        </w:rPr>
        <w:t> </w:t>
      </w:r>
      <w:r>
        <w:rPr>
          <w:u w:val="none"/>
        </w:rPr>
        <w:t>considered</w:t>
      </w:r>
      <w:r>
        <w:rPr>
          <w:spacing w:val="-2"/>
          <w:u w:val="none"/>
        </w:rPr>
        <w:t> </w:t>
      </w:r>
      <w:r>
        <w:rPr>
          <w:u w:val="none"/>
        </w:rPr>
        <w:t>to</w:t>
      </w:r>
      <w:r>
        <w:rPr>
          <w:spacing w:val="-5"/>
          <w:u w:val="none"/>
        </w:rPr>
        <w:t> </w:t>
      </w:r>
      <w:r>
        <w:rPr>
          <w:u w:val="none"/>
        </w:rPr>
        <w:t>be</w:t>
      </w:r>
      <w:r>
        <w:rPr>
          <w:spacing w:val="-2"/>
          <w:u w:val="none"/>
        </w:rPr>
        <w:t> </w:t>
      </w:r>
      <w:r>
        <w:rPr>
          <w:u w:val="none"/>
        </w:rPr>
        <w:t>specific</w:t>
      </w:r>
      <w:r>
        <w:rPr>
          <w:spacing w:val="-2"/>
          <w:u w:val="none"/>
        </w:rPr>
        <w:t> </w:t>
      </w:r>
      <w:r>
        <w:rPr>
          <w:u w:val="none"/>
        </w:rPr>
        <w:t>pursuant</w:t>
      </w:r>
      <w:r>
        <w:rPr>
          <w:spacing w:val="-4"/>
          <w:u w:val="none"/>
        </w:rPr>
        <w:t> </w:t>
      </w:r>
      <w:r>
        <w:rPr>
          <w:u w:val="none"/>
        </w:rPr>
        <w:t>to</w:t>
      </w:r>
      <w:r>
        <w:rPr>
          <w:spacing w:val="-5"/>
          <w:u w:val="none"/>
        </w:rPr>
        <w:t> </w:t>
      </w:r>
      <w:r>
        <w:rPr>
          <w:u w:val="none"/>
        </w:rPr>
        <w:t>section 29</w:t>
      </w:r>
      <w:r>
        <w:rPr>
          <w:spacing w:val="-2"/>
          <w:u w:val="none"/>
        </w:rPr>
        <w:t> </w:t>
      </w:r>
      <w:r>
        <w:rPr>
          <w:u w:val="none"/>
        </w:rPr>
        <w:t>of the </w:t>
      </w:r>
      <w:r>
        <w:rPr>
          <w:i/>
          <w:u w:val="none"/>
        </w:rPr>
        <w:t>Trademarks Regulations</w:t>
      </w:r>
      <w:r>
        <w:rPr>
          <w:u w:val="none"/>
        </w:rPr>
        <w:t>, nor are they considered to be in ordinary commercial terms pursuant to paragraph 30(2)(a) of the </w:t>
      </w:r>
      <w:r>
        <w:rPr>
          <w:i/>
          <w:u w:val="none"/>
        </w:rPr>
        <w:t>Trademarks Act</w:t>
      </w:r>
      <w:r>
        <w:rPr>
          <w:u w:val="none"/>
        </w:rPr>
        <w:t>:</w:t>
      </w:r>
    </w:p>
    <w:p>
      <w:pPr>
        <w:pStyle w:val="Heading1"/>
      </w:pPr>
      <w:r>
        <w:rPr>
          <w:spacing w:val="-2"/>
        </w:rPr>
        <w:t>Goods</w:t>
      </w:r>
    </w:p>
    <w:p>
      <w:pPr>
        <w:pStyle w:val="BodyText"/>
        <w:spacing w:line="276" w:lineRule="auto" w:before="189"/>
        <w:ind w:left="1699" w:right="420"/>
      </w:pPr>
      <w:r>
        <w:rPr>
          <w:b/>
        </w:rPr>
        <w:t>[09]</w:t>
      </w:r>
      <w:r>
        <w:rPr>
          <w:b/>
          <w:spacing w:val="-4"/>
        </w:rPr>
        <w:t> </w:t>
      </w:r>
      <w:r>
        <w:rPr/>
        <w:t>(1)</w:t>
      </w:r>
      <w:r>
        <w:rPr>
          <w:spacing w:val="-4"/>
        </w:rPr>
        <w:t> </w:t>
      </w:r>
      <w:r>
        <w:rPr/>
        <w:t>Downloadable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nature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monitor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status</w:t>
      </w:r>
      <w:r>
        <w:rPr>
          <w:spacing w:val="-2"/>
        </w:rPr>
        <w:t> </w:t>
      </w:r>
      <w:r>
        <w:rPr/>
        <w:t>and location of vehicles, </w:t>
      </w:r>
      <w:r>
        <w:rPr>
          <w:u w:val="single"/>
        </w:rPr>
        <w:t>equipment</w:t>
      </w:r>
      <w:r>
        <w:rPr>
          <w:u w:val="none"/>
        </w:rPr>
        <w:t>, and </w:t>
      </w:r>
      <w:r>
        <w:rPr>
          <w:u w:val="single"/>
        </w:rPr>
        <w:t>heavy machinery</w:t>
      </w:r>
      <w:r>
        <w:rPr>
          <w:u w:val="none"/>
        </w:rPr>
        <w:t>; Remote control starters for vehicles, </w:t>
      </w:r>
      <w:r>
        <w:rPr>
          <w:u w:val="single"/>
        </w:rPr>
        <w:t>equipment</w:t>
      </w:r>
      <w:r>
        <w:rPr>
          <w:u w:val="none"/>
        </w:rPr>
        <w:t>, and </w:t>
      </w:r>
      <w:r>
        <w:rPr>
          <w:u w:val="single"/>
        </w:rPr>
        <w:t>heavy machinery</w:t>
      </w:r>
      <w:r>
        <w:rPr>
          <w:u w:val="none"/>
        </w:rPr>
        <w:t>; Remote switches for switching off motors for vehicles, </w:t>
      </w:r>
      <w:r>
        <w:rPr>
          <w:u w:val="single"/>
        </w:rPr>
        <w:t>equipment</w:t>
      </w:r>
      <w:r>
        <w:rPr>
          <w:u w:val="none"/>
        </w:rPr>
        <w:t>, and </w:t>
      </w:r>
      <w:r>
        <w:rPr>
          <w:u w:val="single"/>
        </w:rPr>
        <w:t>heavy machinery</w:t>
      </w:r>
      <w:r>
        <w:rPr>
          <w:u w:val="none"/>
        </w:rPr>
        <w:t>; Downloadable software for scheduling remote control starters and remote switches for switching off motors for vehicles, </w:t>
      </w:r>
      <w:r>
        <w:rPr>
          <w:u w:val="single"/>
        </w:rPr>
        <w:t>equipment</w:t>
      </w:r>
      <w:r>
        <w:rPr>
          <w:u w:val="none"/>
        </w:rPr>
        <w:t>, and </w:t>
      </w:r>
      <w:r>
        <w:rPr>
          <w:u w:val="single"/>
        </w:rPr>
        <w:t>heavy </w:t>
      </w:r>
      <w:r>
        <w:rPr>
          <w:u w:val="none"/>
        </w:rPr>
        <w:t> </w:t>
      </w:r>
      <w:r>
        <w:rPr>
          <w:spacing w:val="-2"/>
          <w:u w:val="single"/>
        </w:rPr>
        <w:t>machinery</w:t>
      </w:r>
      <w:r>
        <w:rPr>
          <w:spacing w:val="-2"/>
          <w:u w:val="none"/>
        </w:rPr>
        <w:t>.</w:t>
      </w:r>
    </w:p>
    <w:p>
      <w:pPr>
        <w:pStyle w:val="Heading1"/>
        <w:spacing w:before="151"/>
      </w:pPr>
      <w:r>
        <w:rPr>
          <w:spacing w:val="-2"/>
        </w:rPr>
        <w:t>Services</w:t>
      </w:r>
    </w:p>
    <w:p>
      <w:pPr>
        <w:pStyle w:val="BodyText"/>
        <w:spacing w:line="276" w:lineRule="auto" w:before="186"/>
        <w:ind w:left="1699" w:right="389"/>
      </w:pPr>
      <w:r>
        <w:rPr>
          <w:b/>
        </w:rPr>
        <w:t>[35] </w:t>
      </w:r>
      <w:r>
        <w:rPr/>
        <w:t>(1) Business services, namely, providing online business information in the fields of</w:t>
      </w:r>
      <w:r>
        <w:rPr>
          <w:spacing w:val="40"/>
        </w:rPr>
        <w:t> </w:t>
      </w:r>
      <w:r>
        <w:rPr/>
        <w:t>rental of construction equipment and industrial equipment, namely, aerial, concrete and masonry, floor care and surface preparation, power generation, pump, air compressors and tools,</w:t>
      </w:r>
      <w:r>
        <w:rPr>
          <w:spacing w:val="-3"/>
        </w:rPr>
        <w:t> </w:t>
      </w:r>
      <w:r>
        <w:rPr/>
        <w:t>compaction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paving,</w:t>
      </w:r>
      <w:r>
        <w:rPr>
          <w:spacing w:val="-3"/>
        </w:rPr>
        <w:t> </w:t>
      </w:r>
      <w:r>
        <w:rPr/>
        <w:t>earthmoving,</w:t>
      </w:r>
      <w:r>
        <w:rPr>
          <w:spacing w:val="-6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handling,</w:t>
      </w:r>
      <w:r>
        <w:rPr>
          <w:spacing w:val="-6"/>
        </w:rPr>
        <w:t> </w:t>
      </w:r>
      <w:r>
        <w:rPr/>
        <w:t>trucks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trailers,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material handling equipment for lifting, namely, conveyors, cranes, forklift trucks, carts and dollies.</w:t>
      </w:r>
    </w:p>
    <w:p>
      <w:pPr>
        <w:pStyle w:val="BodyText"/>
        <w:spacing w:line="276" w:lineRule="auto" w:before="151"/>
        <w:ind w:left="1699" w:right="371"/>
      </w:pPr>
      <w:r>
        <w:rPr>
          <w:b/>
        </w:rPr>
        <w:t>[42]</w:t>
      </w:r>
      <w:r>
        <w:rPr>
          <w:b/>
          <w:spacing w:val="-4"/>
        </w:rPr>
        <w:t> </w:t>
      </w:r>
      <w:r>
        <w:rPr/>
        <w:t>(2)</w:t>
      </w:r>
      <w:r>
        <w:rPr>
          <w:spacing w:val="-4"/>
        </w:rPr>
        <w:t> </w:t>
      </w:r>
      <w:r>
        <w:rPr/>
        <w:t>Hosting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website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(SAAS) services featuring software to monitor the status and location of vehicles, </w:t>
      </w:r>
      <w:r>
        <w:rPr>
          <w:u w:val="single"/>
        </w:rPr>
        <w:t>equipment</w:t>
      </w:r>
      <w:r>
        <w:rPr>
          <w:u w:val="none"/>
        </w:rPr>
        <w:t>, and </w:t>
      </w:r>
      <w:r>
        <w:rPr>
          <w:u w:val="single"/>
        </w:rPr>
        <w:t>heavy machinery</w:t>
      </w:r>
      <w:r>
        <w:rPr>
          <w:u w:val="none"/>
        </w:rPr>
        <w:t>; Hosting a website on the internet providing software and software as a service (SAAS) services featuring software regarding remote control starters and remote switches for switching off motors for vehicles, </w:t>
      </w:r>
      <w:r>
        <w:rPr>
          <w:u w:val="single"/>
        </w:rPr>
        <w:t>equipment</w:t>
      </w:r>
      <w:r>
        <w:rPr>
          <w:u w:val="none"/>
        </w:rPr>
        <w:t>, and </w:t>
      </w:r>
      <w:r>
        <w:rPr>
          <w:u w:val="single"/>
        </w:rPr>
        <w:t>heavy machinery</w:t>
      </w:r>
      <w:r>
        <w:rPr>
          <w:u w:val="none"/>
        </w:rPr>
        <w:t>; Hosting a</w:t>
      </w:r>
    </w:p>
    <w:p>
      <w:pPr>
        <w:pStyle w:val="BodyText"/>
        <w:spacing w:after="0" w:line="276" w:lineRule="auto"/>
        <w:sectPr>
          <w:type w:val="continuous"/>
          <w:pgSz w:w="12240" w:h="15840"/>
          <w:pgMar w:header="0" w:footer="634" w:top="280" w:bottom="820" w:left="720" w:right="1080"/>
        </w:sectPr>
      </w:pPr>
    </w:p>
    <w:p>
      <w:pPr>
        <w:pStyle w:val="BodyText"/>
        <w:spacing w:line="276" w:lineRule="auto" w:before="81"/>
        <w:ind w:left="1699"/>
      </w:pPr>
      <w:r>
        <w:rPr/>
        <w:t>website on the internet providing software and software as a service (SAAS) services for scheduling</w:t>
      </w:r>
      <w:r>
        <w:rPr>
          <w:spacing w:val="-3"/>
        </w:rPr>
        <w:t> </w:t>
      </w:r>
      <w:r>
        <w:rPr/>
        <w:t>remote</w:t>
      </w:r>
      <w:r>
        <w:rPr>
          <w:spacing w:val="-5"/>
        </w:rPr>
        <w:t> </w:t>
      </w:r>
      <w:r>
        <w:rPr/>
        <w:t>control</w:t>
      </w:r>
      <w:r>
        <w:rPr>
          <w:spacing w:val="-2"/>
        </w:rPr>
        <w:t> </w:t>
      </w:r>
      <w:r>
        <w:rPr/>
        <w:t>starters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remote</w:t>
      </w:r>
      <w:r>
        <w:rPr>
          <w:spacing w:val="-5"/>
        </w:rPr>
        <w:t> </w:t>
      </w:r>
      <w:r>
        <w:rPr/>
        <w:t>switches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switching</w:t>
      </w:r>
      <w:r>
        <w:rPr>
          <w:spacing w:val="-3"/>
        </w:rPr>
        <w:t> </w:t>
      </w:r>
      <w:r>
        <w:rPr/>
        <w:t>off</w:t>
      </w:r>
      <w:r>
        <w:rPr>
          <w:spacing w:val="-5"/>
        </w:rPr>
        <w:t> </w:t>
      </w:r>
      <w:r>
        <w:rPr/>
        <w:t>motors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vehicles, </w:t>
      </w:r>
      <w:r>
        <w:rPr>
          <w:u w:val="single"/>
        </w:rPr>
        <w:t>equipment</w:t>
      </w:r>
      <w:r>
        <w:rPr>
          <w:u w:val="none"/>
        </w:rPr>
        <w:t>, and </w:t>
      </w:r>
      <w:r>
        <w:rPr>
          <w:u w:val="single"/>
        </w:rPr>
        <w:t>heavy machinery</w:t>
      </w:r>
      <w:r>
        <w:rPr>
          <w:u w:val="none"/>
        </w:rPr>
        <w:t>.</w:t>
      </w:r>
    </w:p>
    <w:p>
      <w:pPr>
        <w:pStyle w:val="BodyText"/>
        <w:spacing w:line="276" w:lineRule="auto" w:before="150"/>
        <w:ind w:left="720" w:right="420"/>
      </w:pPr>
      <w:r>
        <w:rPr/>
        <w:t>For further guidance on redefining the statements of goods or services, please refer to the </w:t>
      </w:r>
      <w:r>
        <w:rPr>
          <w:i/>
        </w:rPr>
        <w:t>Goods and</w:t>
      </w:r>
      <w:r>
        <w:rPr>
          <w:i/>
        </w:rPr>
        <w:t> Services Manual </w:t>
      </w:r>
      <w:r>
        <w:rPr/>
        <w:t>available on our website. This searchable tool is not an exhaustive list of acceptable terms,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specificity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ordinary</w:t>
      </w:r>
      <w:r>
        <w:rPr>
          <w:spacing w:val="-2"/>
        </w:rPr>
        <w:t> </w:t>
      </w:r>
      <w:r>
        <w:rPr/>
        <w:t>commercial</w:t>
      </w:r>
      <w:r>
        <w:rPr>
          <w:spacing w:val="-4"/>
        </w:rPr>
        <w:t> </w:t>
      </w:r>
      <w:r>
        <w:rPr/>
        <w:t>term</w:t>
      </w:r>
      <w:r>
        <w:rPr>
          <w:spacing w:val="-1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</w:t>
      </w:r>
      <w:r>
        <w:rPr>
          <w:i/>
        </w:rPr>
        <w:t>Trademarks Act </w:t>
      </w:r>
      <w:r>
        <w:rPr/>
        <w:t>and its Regulations.</w:t>
      </w:r>
    </w:p>
    <w:p>
      <w:pPr>
        <w:pStyle w:val="BodyText"/>
        <w:spacing w:line="276" w:lineRule="auto" w:before="151"/>
        <w:ind w:left="720"/>
      </w:pPr>
      <w:r>
        <w:rPr/>
        <w:t>The</w:t>
      </w:r>
      <w:r>
        <w:rPr>
          <w:spacing w:val="-2"/>
        </w:rPr>
        <w:t> </w:t>
      </w:r>
      <w:r>
        <w:rPr/>
        <w:t>applicant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file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amended</w:t>
      </w:r>
      <w:r>
        <w:rPr>
          <w:spacing w:val="-2"/>
        </w:rPr>
        <w:t> </w:t>
      </w:r>
      <w:r>
        <w:rPr/>
        <w:t>application,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e-service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CIPO</w:t>
      </w:r>
      <w:r>
        <w:rPr>
          <w:spacing w:val="-4"/>
        </w:rPr>
        <w:t> </w:t>
      </w:r>
      <w:r>
        <w:rPr/>
        <w:t>website</w:t>
      </w:r>
      <w:r>
        <w:rPr>
          <w:spacing w:val="-2"/>
        </w:rPr>
        <w:t> </w:t>
      </w:r>
      <w:r>
        <w:rPr/>
        <w:t>at </w:t>
      </w:r>
      <w:hyperlink r:id="rId8">
        <w:r>
          <w:rPr>
            <w:color w:val="0000FF"/>
            <w:u w:val="single" w:color="0000FF"/>
          </w:rPr>
          <w:t>www.cipo.gc.ca</w:t>
        </w:r>
        <w:r>
          <w:rPr>
            <w:u w:val="none"/>
          </w:rPr>
          <w:t>,</w:t>
        </w:r>
      </w:hyperlink>
      <w:r>
        <w:rPr>
          <w:u w:val="none"/>
        </w:rPr>
        <w:t> by fax at 819-953-2476 or by mail at the following address:</w:t>
      </w:r>
    </w:p>
    <w:p>
      <w:pPr>
        <w:pStyle w:val="BodyText"/>
        <w:spacing w:line="278" w:lineRule="auto" w:before="148"/>
        <w:ind w:left="1699" w:right="6162"/>
      </w:pPr>
      <w:r>
        <w:rPr/>
        <w:t>Registrar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Trademarks Place du Portage I</w:t>
      </w:r>
    </w:p>
    <w:p>
      <w:pPr>
        <w:pStyle w:val="BodyText"/>
        <w:spacing w:line="276" w:lineRule="auto"/>
        <w:ind w:left="1699" w:right="5205"/>
      </w:pPr>
      <w:r>
        <w:rPr/>
        <w:t>50</w:t>
      </w:r>
      <w:r>
        <w:rPr>
          <w:spacing w:val="-9"/>
        </w:rPr>
        <w:t> </w:t>
      </w:r>
      <w:r>
        <w:rPr/>
        <w:t>Victoria</w:t>
      </w:r>
      <w:r>
        <w:rPr>
          <w:spacing w:val="-9"/>
        </w:rPr>
        <w:t> </w:t>
      </w:r>
      <w:r>
        <w:rPr/>
        <w:t>Street,</w:t>
      </w:r>
      <w:r>
        <w:rPr>
          <w:spacing w:val="-11"/>
        </w:rPr>
        <w:t> </w:t>
      </w:r>
      <w:r>
        <w:rPr/>
        <w:t>room</w:t>
      </w:r>
      <w:r>
        <w:rPr>
          <w:spacing w:val="-8"/>
        </w:rPr>
        <w:t> </w:t>
      </w:r>
      <w:r>
        <w:rPr/>
        <w:t>C-114 Gatineau, QC K1A 0C9</w:t>
      </w:r>
    </w:p>
    <w:p>
      <w:pPr>
        <w:pStyle w:val="BodyText"/>
        <w:spacing w:line="276" w:lineRule="auto" w:before="147"/>
        <w:ind w:left="720"/>
      </w:pPr>
      <w:r>
        <w:rPr/>
        <w:t>Upon</w:t>
      </w:r>
      <w:r>
        <w:rPr>
          <w:spacing w:val="-4"/>
        </w:rPr>
        <w:t> </w:t>
      </w:r>
      <w:r>
        <w:rPr/>
        <w:t>satisfactory</w:t>
      </w:r>
      <w:r>
        <w:rPr>
          <w:spacing w:val="-4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above-mentioned</w:t>
      </w:r>
      <w:r>
        <w:rPr>
          <w:spacing w:val="-4"/>
        </w:rPr>
        <w:t> </w:t>
      </w:r>
      <w:r>
        <w:rPr/>
        <w:t>requirement(s),</w:t>
      </w:r>
      <w:r>
        <w:rPr>
          <w:spacing w:val="-4"/>
        </w:rPr>
        <w:t> </w:t>
      </w:r>
      <w:r>
        <w:rPr/>
        <w:t>further</w:t>
      </w:r>
      <w:r>
        <w:rPr>
          <w:spacing w:val="-6"/>
        </w:rPr>
        <w:t> </w:t>
      </w:r>
      <w:r>
        <w:rPr/>
        <w:t>office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 </w:t>
      </w:r>
      <w:r>
        <w:rPr>
          <w:spacing w:val="-2"/>
        </w:rPr>
        <w:t>undertaken.</w:t>
      </w:r>
    </w:p>
    <w:p>
      <w:pPr>
        <w:pStyle w:val="BodyText"/>
        <w:spacing w:before="148"/>
        <w:ind w:left="720" w:right="380"/>
      </w:pPr>
      <w:r>
        <w:rPr/>
        <w:t>If the applicant has any specific questions in respect of this Office action, please contact the assigned examiner.</w:t>
      </w:r>
      <w:r>
        <w:rPr>
          <w:spacing w:val="-2"/>
        </w:rPr>
        <w:t> </w:t>
      </w:r>
      <w:r>
        <w:rPr/>
        <w:t>Please</w:t>
      </w:r>
      <w:r>
        <w:rPr>
          <w:spacing w:val="-2"/>
        </w:rPr>
        <w:t>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general</w:t>
      </w:r>
      <w:r>
        <w:rPr>
          <w:spacing w:val="-4"/>
        </w:rPr>
        <w:t> </w:t>
      </w:r>
      <w:r>
        <w:rPr/>
        <w:t>inquiries,</w:t>
      </w:r>
      <w:r>
        <w:rPr>
          <w:spacing w:val="-5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assistance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filing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revised application, queries about the status of an application or receipt of correspondence, you may contact our Client</w:t>
      </w:r>
      <w:r>
        <w:rPr>
          <w:spacing w:val="40"/>
        </w:rPr>
        <w:t> </w:t>
      </w:r>
      <w:r>
        <w:rPr/>
        <w:t>Service Centre toll free at 1-866-997-1936.</w:t>
      </w:r>
    </w:p>
    <w:p>
      <w:pPr>
        <w:pStyle w:val="BodyText"/>
        <w:spacing w:before="229"/>
        <w:ind w:left="720"/>
      </w:pPr>
      <w:r>
        <w:rPr/>
        <w:t>Yours</w:t>
      </w:r>
      <w:r>
        <w:rPr>
          <w:spacing w:val="-6"/>
        </w:rPr>
        <w:t> </w:t>
      </w:r>
      <w:r>
        <w:rPr>
          <w:spacing w:val="-2"/>
        </w:rPr>
        <w:t>truly,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before="1"/>
        <w:ind w:left="720" w:right="7929"/>
      </w:pPr>
      <w:r>
        <w:rPr/>
        <w:t>Mark</w:t>
      </w:r>
      <w:r>
        <w:rPr>
          <w:spacing w:val="-2"/>
        </w:rPr>
        <w:t> </w:t>
      </w:r>
      <w:r>
        <w:rPr/>
        <w:t>Burke </w:t>
      </w:r>
      <w:r>
        <w:rPr>
          <w:spacing w:val="-4"/>
        </w:rPr>
        <w:t>Examination</w:t>
      </w:r>
      <w:r>
        <w:rPr>
          <w:spacing w:val="-10"/>
        </w:rPr>
        <w:t> </w:t>
      </w:r>
      <w:r>
        <w:rPr>
          <w:spacing w:val="-4"/>
        </w:rPr>
        <w:t>Section </w:t>
      </w:r>
      <w:r>
        <w:rPr>
          <w:spacing w:val="-2"/>
        </w:rPr>
        <w:t>819-965-4788</w:t>
      </w:r>
    </w:p>
    <w:p>
      <w:pPr>
        <w:pStyle w:val="BodyText"/>
        <w:spacing w:before="1"/>
        <w:ind w:left="720"/>
      </w:pPr>
      <w:r>
        <w:rPr/>
        <w:t>fax:</w:t>
      </w:r>
      <w:r>
        <w:rPr>
          <w:spacing w:val="-7"/>
        </w:rPr>
        <w:t> </w:t>
      </w:r>
      <w:r>
        <w:rPr/>
        <w:t>819-953-</w:t>
      </w:r>
      <w:r>
        <w:rPr>
          <w:spacing w:val="-4"/>
        </w:rPr>
        <w:t>2476</w:t>
      </w:r>
    </w:p>
    <w:sectPr>
      <w:pgSz w:w="12240" w:h="15840"/>
      <w:pgMar w:header="0" w:footer="634" w:top="1360" w:bottom="82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6143116</wp:posOffset>
          </wp:positionH>
          <wp:positionV relativeFrom="page">
            <wp:posOffset>9532861</wp:posOffset>
          </wp:positionV>
          <wp:extent cx="1200048" cy="2848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0048" cy="284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476250</wp:posOffset>
              </wp:positionH>
              <wp:positionV relativeFrom="page">
                <wp:posOffset>9482480</wp:posOffset>
              </wp:positionV>
              <wp:extent cx="685419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8541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4190" h="0">
                            <a:moveTo>
                              <a:pt x="0" y="0"/>
                            </a:moveTo>
                            <a:lnTo>
                              <a:pt x="6853808" y="0"/>
                            </a:lnTo>
                          </a:path>
                        </a:pathLst>
                      </a:custGeom>
                      <a:ln w="9525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0592" from="37.5pt,746.651978pt" to="577.170pt,746.651978pt" stroked="true" strokeweight=".75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902004</wp:posOffset>
              </wp:positionH>
              <wp:positionV relativeFrom="page">
                <wp:posOffset>9581985</wp:posOffset>
              </wp:positionV>
              <wp:extent cx="4672965" cy="2698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72965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459" w:val="left" w:leader="none"/>
                            </w:tabs>
                            <w:spacing w:before="15"/>
                            <w:ind w:left="20" w:right="18" w:firstLine="0"/>
                            <w:jc w:val="left"/>
                            <w:rPr>
                              <w:rFonts w:ascii="Arial" w:hAnsi="Arial"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sz w:val="17"/>
                            </w:rPr>
                            <w:t>50, rue Victoria</w:t>
                            <w:tab/>
                            <w:t>•</w:t>
                          </w:r>
                          <w:r>
                            <w:rPr>
                              <w:rFonts w:ascii="Arial" w:hAnsi="Arial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Place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du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Portage 1</w:t>
                          </w:r>
                          <w:r>
                            <w:rPr>
                              <w:rFonts w:ascii="Arial" w:hAnsi="Arial"/>
                              <w:spacing w:val="8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spacing w:val="8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Gatineau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(Québec)</w:t>
                          </w:r>
                          <w:r>
                            <w:rPr>
                              <w:rFonts w:ascii="Arial" w:hAnsi="Arial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K1A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0C9</w:t>
                          </w:r>
                          <w:r>
                            <w:rPr>
                              <w:rFonts w:ascii="Arial" w:hAnsi="Arial"/>
                              <w:spacing w:val="8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i/>
                              <w:spacing w:val="80"/>
                              <w:sz w:val="17"/>
                            </w:rPr>
                            <w:t> </w:t>
                          </w:r>
                          <w:hyperlink r:id="rId2">
                            <w:r>
                              <w:rPr>
                                <w:rFonts w:ascii="Arial" w:hAnsi="Arial"/>
                                <w:sz w:val="17"/>
                              </w:rPr>
                              <w:t>www.opic.ic.gc.ca</w:t>
                            </w:r>
                          </w:hyperlink>
                          <w:r>
                            <w:rPr>
                              <w:rFonts w:ascii="Arial" w:hAnsi="Arial"/>
                              <w:sz w:val="17"/>
                            </w:rPr>
                            <w:t> 50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Victoria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Street</w:t>
                          </w:r>
                          <w:r>
                            <w:rPr>
                              <w:rFonts w:ascii="Arial" w:hAnsi="Arial"/>
                              <w:spacing w:val="62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spacing w:val="4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Place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du Portage</w:t>
                          </w:r>
                          <w:r>
                            <w:rPr>
                              <w:rFonts w:ascii="Arial" w:hAnsi="Arial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spacing w:val="67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spacing w:val="68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Gatineau,</w:t>
                          </w:r>
                          <w:r>
                            <w:rPr>
                              <w:rFonts w:ascii="Arial" w:hAnsi="Arial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Quebec</w:t>
                          </w:r>
                          <w:r>
                            <w:rPr>
                              <w:rFonts w:ascii="Arial" w:hAnsi="Arial"/>
                              <w:spacing w:val="72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K1A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0C9</w:t>
                          </w:r>
                          <w:r>
                            <w:rPr>
                              <w:rFonts w:ascii="Arial" w:hAnsi="Arial"/>
                              <w:spacing w:val="36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Arial" w:hAnsi="Arial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spacing w:val="69"/>
                              <w:w w:val="150"/>
                              <w:sz w:val="17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Arial" w:hAnsi="Arial"/>
                                <w:spacing w:val="-2"/>
                                <w:sz w:val="17"/>
                              </w:rPr>
                              <w:t>www.cipo.ic.gc.ca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54.487061pt;width:367.95pt;height:21.25pt;mso-position-horizontal-relative:page;mso-position-vertical-relative:page;z-index:-15790080" type="#_x0000_t202" id="docshape1" filled="false" stroked="false">
              <v:textbox inset="0,0,0,0">
                <w:txbxContent>
                  <w:p>
                    <w:pPr>
                      <w:tabs>
                        <w:tab w:pos="1459" w:val="left" w:leader="none"/>
                      </w:tabs>
                      <w:spacing w:before="15"/>
                      <w:ind w:left="20" w:right="18" w:firstLine="0"/>
                      <w:jc w:val="left"/>
                      <w:rPr>
                        <w:rFonts w:ascii="Arial" w:hAnsi="Arial"/>
                        <w:sz w:val="17"/>
                      </w:rPr>
                    </w:pPr>
                    <w:r>
                      <w:rPr>
                        <w:rFonts w:ascii="Arial" w:hAnsi="Arial"/>
                        <w:sz w:val="17"/>
                      </w:rPr>
                      <w:t>50, rue Victoria</w:t>
                      <w:tab/>
                      <w:t>•</w:t>
                    </w:r>
                    <w:r>
                      <w:rPr>
                        <w:rFonts w:ascii="Arial" w:hAnsi="Arial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Place</w:t>
                    </w:r>
                    <w:r>
                      <w:rPr>
                        <w:rFonts w:ascii="Arial" w:hAnsi="Arial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du</w:t>
                    </w:r>
                    <w:r>
                      <w:rPr>
                        <w:rFonts w:ascii="Arial" w:hAnsi="Arial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Portage 1</w:t>
                    </w:r>
                    <w:r>
                      <w:rPr>
                        <w:rFonts w:ascii="Arial" w:hAnsi="Arial"/>
                        <w:spacing w:val="8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spacing w:val="8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Gatineau</w:t>
                    </w:r>
                    <w:r>
                      <w:rPr>
                        <w:rFonts w:ascii="Arial" w:hAnsi="Arial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(Québec)</w:t>
                    </w:r>
                    <w:r>
                      <w:rPr>
                        <w:rFonts w:ascii="Arial" w:hAnsi="Arial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K1A</w:t>
                    </w:r>
                    <w:r>
                      <w:rPr>
                        <w:rFonts w:ascii="Arial" w:hAnsi="Arial"/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0C9</w:t>
                    </w:r>
                    <w:r>
                      <w:rPr>
                        <w:rFonts w:ascii="Arial" w:hAnsi="Arial"/>
                        <w:spacing w:val="8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i/>
                        <w:spacing w:val="80"/>
                        <w:sz w:val="17"/>
                      </w:rPr>
                      <w:t> </w:t>
                    </w:r>
                    <w:hyperlink r:id="rId2">
                      <w:r>
                        <w:rPr>
                          <w:rFonts w:ascii="Arial" w:hAnsi="Arial"/>
                          <w:sz w:val="17"/>
                        </w:rPr>
                        <w:t>www.opic.ic.gc.ca</w:t>
                      </w:r>
                    </w:hyperlink>
                    <w:r>
                      <w:rPr>
                        <w:rFonts w:ascii="Arial" w:hAnsi="Arial"/>
                        <w:sz w:val="17"/>
                      </w:rPr>
                      <w:t> 50</w:t>
                    </w:r>
                    <w:r>
                      <w:rPr>
                        <w:rFonts w:ascii="Arial" w:hAnsi="Arial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Victoria</w:t>
                    </w:r>
                    <w:r>
                      <w:rPr>
                        <w:rFonts w:ascii="Arial" w:hAnsi="Arial"/>
                        <w:spacing w:val="-2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Street</w:t>
                    </w:r>
                    <w:r>
                      <w:rPr>
                        <w:rFonts w:ascii="Arial" w:hAnsi="Arial"/>
                        <w:spacing w:val="62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spacing w:val="45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Place</w:t>
                    </w:r>
                    <w:r>
                      <w:rPr>
                        <w:rFonts w:ascii="Arial" w:hAnsi="Arial"/>
                        <w:spacing w:val="-2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du Portage</w:t>
                    </w:r>
                    <w:r>
                      <w:rPr>
                        <w:rFonts w:ascii="Arial" w:hAnsi="Arial"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1</w:t>
                    </w:r>
                    <w:r>
                      <w:rPr>
                        <w:rFonts w:ascii="Arial" w:hAnsi="Arial"/>
                        <w:spacing w:val="67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spacing w:val="68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Gatineau,</w:t>
                    </w:r>
                    <w:r>
                      <w:rPr>
                        <w:rFonts w:ascii="Arial" w:hAnsi="Arial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Quebec</w:t>
                    </w:r>
                    <w:r>
                      <w:rPr>
                        <w:rFonts w:ascii="Arial" w:hAnsi="Arial"/>
                        <w:spacing w:val="72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K1A</w:t>
                    </w:r>
                    <w:r>
                      <w:rPr>
                        <w:rFonts w:ascii="Arial" w:hAnsi="Arial"/>
                        <w:spacing w:val="-2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sz w:val="17"/>
                      </w:rPr>
                      <w:t>0C9</w:t>
                    </w:r>
                    <w:r>
                      <w:rPr>
                        <w:rFonts w:ascii="Arial" w:hAnsi="Arial"/>
                        <w:spacing w:val="36"/>
                        <w:sz w:val="17"/>
                      </w:rPr>
                      <w:t>  </w:t>
                    </w:r>
                    <w:r>
                      <w:rPr>
                        <w:rFonts w:ascii="Arial" w:hAnsi="Arial"/>
                        <w:sz w:val="17"/>
                      </w:rPr>
                      <w:t>•</w:t>
                    </w:r>
                    <w:r>
                      <w:rPr>
                        <w:rFonts w:ascii="Arial" w:hAnsi="Arial"/>
                        <w:spacing w:val="69"/>
                        <w:w w:val="150"/>
                        <w:sz w:val="17"/>
                      </w:rPr>
                      <w:t> </w:t>
                    </w:r>
                    <w:hyperlink r:id="rId3">
                      <w:r>
                        <w:rPr>
                          <w:rFonts w:ascii="Arial" w:hAnsi="Arial"/>
                          <w:spacing w:val="-2"/>
                          <w:sz w:val="17"/>
                        </w:rPr>
                        <w:t>www.cipo.ic.gc.ca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169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20"/>
      <w:jc w:val="both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6" w:lineRule="exact"/>
      <w:ind w:left="59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ised-isde.canada.ca/site/canadian-intellectual-property-office/en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opic.ic.gc.ca/" TargetMode="External"/><Relationship Id="rId3" Type="http://schemas.openxmlformats.org/officeDocument/2006/relationships/hyperlink" Target="http://www.cipo.ic.gc.ca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Burke, Mark (he, him | il, le) (ISED/ISDE)</dc:creator>
  <dcterms:created xsi:type="dcterms:W3CDTF">2026-04-22T21:18:24Z</dcterms:created>
  <dcterms:modified xsi:type="dcterms:W3CDTF">2026-04-22T21:18:24Z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for Microsoft 365</vt:lpwstr>
  </property>
</Properties>
</file>