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none" w:color="FFFFFF" w:sz="0"/>
              <w:left w:val="none" w:color="FFFFFF" w:sz="0"/>
              <w:bottom w:val="none" w:color="FFFFFF" w:sz="0"/>
              <w:right w:val="none" w:color="FFFFFF" w:sz="0"/>
            </w:tcBorders>
            <w:tcMar>
              <w:top w:type="dxa" w:w="80"/>
              <w:left w:type="dxa" w:w="0"/>
              <w:bottom w:type="dxa" w:w="80"/>
              <w:right w:type="dxa" w:w="150"/>
            </w:tcMar>
          </w:tcPr>
          <w:p>
            <w:r>
              <w:rPr>
                <w:rFonts w:ascii="Arial" w:cs="Arial" w:eastAsia="Arial" w:hAnsi="Arial"/>
                <w:b/>
                <w:bCs/>
                <w:color w:val="1F4E79"/>
                <w:sz w:val="32"/>
                <w:szCs w:val="32"/>
              </w:rPr>
              <w:t xml:space="preserve">RELATÓRIO DE INCIDENTE – RCA</w:t>
            </w:r>
          </w:p>
          <w:p>
            <w:r>
              <w:rPr>
                <w:rFonts w:ascii="Arial" w:cs="Arial" w:eastAsia="Arial" w:hAnsi="Arial"/>
                <w:color w:val="595959"/>
                <w:sz w:val="20"/>
                <w:szCs w:val="20"/>
              </w:rPr>
              <w:t xml:space="preserve">AKS-SINBM-PRD | sinbm-servico-login</w:t>
            </w:r>
          </w:p>
        </w:tc>
        <w:tc>
          <w:tcPr>
            <w:tcW w:type="dxa" w:w="3120"/>
            <w:tcBorders>
              <w:top w:val="none" w:color="FFFFFF" w:sz="0"/>
              <w:left w:val="none" w:color="FFFFFF" w:sz="0"/>
              <w:bottom w:val="none" w:color="FFFFFF" w:sz="0"/>
              <w:right w:val="none" w:color="FFFFFF" w:sz="0"/>
            </w:tcBorders>
            <w:tcMar>
              <w:top w:type="dxa" w:w="80"/>
              <w:left w:type="dxa" w:w="150"/>
              <w:bottom w:type="dxa" w:w="80"/>
              <w:right w:type="dxa" w:w="0"/>
            </w:tcMar>
            <w:vAlign w:val="center"/>
          </w:tcPr>
          <w:p>
            <w:pPr>
              <w:jc w:val="right"/>
            </w:pPr>
            <w:r>
              <w:rPr>
                <w:rFonts w:ascii="Arial" w:cs="Arial" w:eastAsia="Arial" w:hAnsi="Arial"/>
                <w:color w:val="595959"/>
                <w:sz w:val="18"/>
                <w:szCs w:val="18"/>
              </w:rPr>
              <w:t xml:space="preserve">Data: 25/06/2026</w:t>
            </w:r>
          </w:p>
          <w:p>
            <w:pPr>
              <w:jc w:val="right"/>
            </w:pPr>
            <w:r>
              <w:rPr>
                <w:rFonts w:ascii="Arial" w:cs="Arial" w:eastAsia="Arial" w:hAnsi="Arial"/>
                <w:color w:val="C07000"/>
                <w:sz w:val="18"/>
                <w:szCs w:val="18"/>
              </w:rPr>
              <w:t xml:space="preserve">Status: Em Investigação</w:t>
            </w:r>
          </w:p>
        </w:tc>
      </w:tr>
    </w:tbl>
    <w:p>
      <w:pPr>
        <w:pBdr>
          <w:bottom w:val="single" w:color="2E75B6" w:sz="4" w:space="1"/>
        </w:pBdr>
        <w:spacing w:after="120" w:before="120"/>
      </w:pPr>
    </w:p>
    <w:p>
      <w:pPr>
        <w:spacing w:after="80" w:before="80"/>
        <w:jc w:val="left"/>
      </w:pPr>
      <w:r>
        <w:rPr>
          <w:rFonts w:ascii="Arial" w:cs="Arial" w:eastAsia="Arial" w:hAnsi="Arial"/>
          <w:b w:val="false"/>
          <w:bCs w:val="false"/>
          <w:sz w:val="20"/>
          <w:szCs w:val="20"/>
        </w:rPr>
        <w:t xml:space="preserve"/>
      </w:r>
    </w:p>
    <w:p>
      <w:pPr>
        <w:pStyle w:val="Heading1"/>
        <w:spacing w:after="160" w:before="320"/>
      </w:pPr>
      <w:r>
        <w:rPr>
          <w:rFonts w:ascii="Arial" w:cs="Arial" w:eastAsia="Arial" w:hAnsi="Arial"/>
          <w:b/>
          <w:bCs/>
          <w:color w:val="1F4E79"/>
          <w:sz w:val="28"/>
          <w:szCs w:val="28"/>
        </w:rPr>
        <w:t xml:space="preserve">1. Resumo Executivo</w:t>
      </w:r>
    </w:p>
    <w:p>
      <w:pPr>
        <w:spacing w:after="80" w:before="80"/>
        <w:jc w:val="both"/>
      </w:pPr>
      <w:r>
        <w:rPr>
          <w:rFonts w:ascii="Arial" w:cs="Arial" w:eastAsia="Arial" w:hAnsi="Arial"/>
          <w:b w:val="false"/>
          <w:bCs w:val="false"/>
          <w:sz w:val="20"/>
          <w:szCs w:val="20"/>
        </w:rPr>
        <w:t xml:space="preserve">Em 25/06/2026, a partir das 08:27, o serviço sinbm-servico-login no cluster AKS-SINBM-PRD apresentou falha na inicialização de pods e saturação de CPU nos pods em execução. A investigação, conduzida em etapas ao longo da manhã, revelou dois problemas distintos: às 08:40, identificou-se quota insuficiente na família EASv4 bloqueando o autoscaler — condição que já havia se manifestado silenciosamente às 04:00, sem geração de alerta; por volta das 10:00, identificou-se uma limitação estrutural preexistente nas regras de firewall entre APIM e AKS, configuradas com IPs estáticos e incompatíveis com o modelo dinâmico do Kubernetes.</w:t>
      </w:r>
    </w:p>
    <w:p>
      <w:pPr>
        <w:spacing w:after="80" w:before="80"/>
        <w:jc w:val="both"/>
      </w:pPr>
      <w:r>
        <w:rPr>
          <w:rFonts w:ascii="Arial" w:cs="Arial" w:eastAsia="Arial" w:hAnsi="Arial"/>
          <w:b w:val="false"/>
          <w:bCs w:val="false"/>
          <w:sz w:val="20"/>
          <w:szCs w:val="20"/>
        </w:rPr>
        <w:t xml:space="preserve">A CRQ executada entre 01:00 e 02:21 foi concluída com sucesso e funcionou como gatilho que evidenciou essas limitações já existentes no ambiente. A contenção foi realizada às 08:50 com a criação do nodepool FSv2 e reforçada com o aumento de réplicas. A aplicação do range CIDR às 10:30 reduziu significativamente os erros. O ambiente encontra-se operacional, com ocorrências residuais ainda sob investigação.</w:t>
      </w:r>
    </w:p>
    <w:p>
      <w:pPr>
        <w:spacing w:after="80" w:before="80"/>
        <w:jc w:val="left"/>
      </w:pPr>
      <w:r>
        <w:rPr>
          <w:rFonts w:ascii="Arial" w:cs="Arial" w:eastAsia="Arial" w:hAnsi="Arial"/>
          <w:b w:val="false"/>
          <w:bCs w:val="false"/>
          <w:sz w:val="20"/>
          <w:szCs w:val="20"/>
        </w:rPr>
        <w:t xml:space="preserve"/>
      </w:r>
    </w:p>
    <w:p>
      <w:pPr>
        <w:pStyle w:val="Heading1"/>
        <w:spacing w:after="160" w:before="320"/>
      </w:pPr>
      <w:r>
        <w:rPr>
          <w:rFonts w:ascii="Arial" w:cs="Arial" w:eastAsia="Arial" w:hAnsi="Arial"/>
          <w:b/>
          <w:bCs/>
          <w:color w:val="1F4E79"/>
          <w:sz w:val="28"/>
          <w:szCs w:val="28"/>
        </w:rPr>
        <w:t xml:space="preserve">2. Informações do Incidente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Serviço Afetado</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AKS-SINBM-PRD – sinbm-servico-login</w:t>
            </w:r>
          </w:p>
        </w:tc>
      </w:tr>
      <w:tr>
        <w:tc>
          <w:tcPr>
            <w:tcW w:type="dxa" w:w="23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Início do Incidente</w:t>
            </w:r>
          </w:p>
        </w:tc>
        <w:tc>
          <w:tcPr>
            <w:tcW w:type="dxa" w:w="70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08:27 – 25/06/2026</w:t>
            </w:r>
          </w:p>
        </w:tc>
      </w:tr>
      <w:tr>
        <w:tc>
          <w:tcPr>
            <w:tcW w:type="dxa" w:w="23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Status Atual</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Em investigação — ambiente operacional com ocorrências residuais em acompanhamento</w:t>
            </w:r>
          </w:p>
        </w:tc>
      </w:tr>
      <w:tr>
        <w:tc>
          <w:tcPr>
            <w:tcW w:type="dxa" w:w="23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Severidade</w:t>
            </w:r>
          </w:p>
        </w:tc>
        <w:tc>
          <w:tcPr>
            <w:tcW w:type="dxa" w:w="70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Alta – impacto no serviço de login em produção</w:t>
            </w:r>
          </w:p>
        </w:tc>
      </w:tr>
      <w:tr>
        <w:tc>
          <w:tcPr>
            <w:tcW w:type="dxa" w:w="23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Responsável pelo Atendimento</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Equipe de Cloud / Azure</w:t>
            </w:r>
          </w:p>
        </w:tc>
      </w:tr>
      <w:tr>
        <w:tc>
          <w:tcPr>
            <w:tcW w:type="dxa" w:w="23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Chamado Microsoft</w:t>
            </w:r>
          </w:p>
        </w:tc>
        <w:tc>
          <w:tcPr>
            <w:tcW w:type="dxa" w:w="70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2606250040002754 – Solicitação de aumento de quota EASv4 (em andamento)</w:t>
            </w:r>
          </w:p>
        </w:tc>
      </w:tr>
    </w:tbl>
    <w:p>
      <w:pPr>
        <w:spacing w:after="80" w:before="80"/>
        <w:jc w:val="left"/>
      </w:pPr>
      <w:r>
        <w:rPr>
          <w:rFonts w:ascii="Arial" w:cs="Arial" w:eastAsia="Arial" w:hAnsi="Arial"/>
          <w:b w:val="false"/>
          <w:bCs w:val="false"/>
          <w:sz w:val="20"/>
          <w:szCs w:val="20"/>
        </w:rPr>
        <w:t xml:space="preserve"/>
      </w:r>
    </w:p>
    <w:p>
      <w:pPr>
        <w:pStyle w:val="Heading1"/>
        <w:spacing w:after="160" w:before="320"/>
      </w:pPr>
      <w:r>
        <w:rPr>
          <w:rFonts w:ascii="Arial" w:cs="Arial" w:eastAsia="Arial" w:hAnsi="Arial"/>
          <w:b/>
          <w:bCs/>
          <w:color w:val="1F4E79"/>
          <w:sz w:val="28"/>
          <w:szCs w:val="28"/>
        </w:rPr>
        <w:t xml:space="preserve">3. Cronologia dos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Horário</w:t>
            </w:r>
          </w:p>
        </w:tc>
        <w:tc>
          <w:tcPr>
            <w:tcW w:type="dxa" w:w="79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Evento</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01:00</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Início da execução da CRQ: resize do nodepool para a família de VMs EASv4.</w:t>
            </w:r>
          </w:p>
        </w:tc>
      </w:tr>
      <w:tr>
        <w:tc>
          <w:tcPr>
            <w:tcW w:type="dxa" w:w="14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02:21</w:t>
            </w:r>
          </w:p>
        </w:tc>
        <w:tc>
          <w:tcPr>
            <w:tcW w:type="dxa" w:w="79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CRQ concluída com sucesso. Resize do nodepool EASv4 finalizado.</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~04:00</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Registro de tentativa de escalonamento automático pelo cluster — sem sucesso por falta de quota EASv4. Evento sem geração de alerta, identificado posteriormente na análise de logs.</w:t>
            </w:r>
          </w:p>
        </w:tc>
      </w:tr>
      <w:tr>
        <w:tc>
          <w:tcPr>
            <w:tcW w:type="dxa" w:w="14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08:27</w:t>
            </w:r>
          </w:p>
        </w:tc>
        <w:tc>
          <w:tcPr>
            <w:tcW w:type="dxa" w:w="79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Equipe acionada: pods do sinbm-servico-login falhando ao inicializar; outros pods com 100% de CPU.</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08:27 – 08:40</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Análise do nodepool: consumo geral em 60% — dentro da capacidade. Configuração: mínimo 18 nós, máximo 33 nós no autoscale.</w:t>
            </w:r>
          </w:p>
        </w:tc>
      </w:tr>
      <w:tr>
        <w:tc>
          <w:tcPr>
            <w:tcW w:type="dxa" w:w="14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08:40</w:t>
            </w:r>
          </w:p>
        </w:tc>
        <w:tc>
          <w:tcPr>
            <w:tcW w:type="dxa" w:w="79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Identificada quota insuficiente da família EASv4 impedindo o autoscaler de provisionar novos nós. Abertura do chamado Microsoft #2606250040002754 para aumento de quota.</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08:50</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Criação de nodepool FSv2 com as mesmas labels do nodepool app1, permitindo redistribuição imediata dos pods pendentes.</w:t>
            </w:r>
          </w:p>
        </w:tc>
      </w:tr>
      <w:tr>
        <w:tc>
          <w:tcPr>
            <w:tcW w:type="dxa" w:w="14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~09:30</w:t>
            </w:r>
          </w:p>
        </w:tc>
        <w:tc>
          <w:tcPr>
            <w:tcW w:type="dxa" w:w="79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Ambiente começa a estabilizar após ativação do nodepool FSv2. Pico de requisições simultâneas gera novo rebote de carga.</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~09:45</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Equipe de desenvolvimento eleva réplicas do sinbm-servico-login para 40 pods. Carga distribuída, ambiente estabilizado operacionalmente.</w:t>
            </w:r>
          </w:p>
        </w:tc>
      </w:tr>
      <w:tr>
        <w:tc>
          <w:tcPr>
            <w:tcW w:type="dxa" w:w="14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~10:00</w:t>
            </w:r>
          </w:p>
        </w:tc>
        <w:tc>
          <w:tcPr>
            <w:tcW w:type="dxa" w:w="79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Identificada configuração de IPs estáticos nas regras de firewall APIM→AKS — prática incompatível com o modelo dinâmico de IPs do Kubernetes. Acionamento da equipe de redes.</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10:30</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Equipe de redes aplica liberação do range CIDR completo APIM→AKS no firewall, removendo as entradas de IPs estáticos. Redução significativa de erros. Ocorrências residuais permanecem sob monitoramento.</w:t>
            </w:r>
          </w:p>
        </w:tc>
      </w:tr>
      <w:tr>
        <w:tc>
          <w:tcPr>
            <w:tcW w:type="dxa" w:w="14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Atual</w:t>
            </w:r>
          </w:p>
        </w:tc>
        <w:tc>
          <w:tcPr>
            <w:tcW w:type="dxa" w:w="79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Ambiente operacional com volume reduzido de erros. Investigação em andamento para identificar e corrigir eventuais pontos remanescentes.</w:t>
            </w:r>
          </w:p>
        </w:tc>
      </w:tr>
    </w:tbl>
    <w:p>
      <w:pPr>
        <w:spacing w:after="80" w:before="80"/>
        <w:jc w:val="left"/>
      </w:pPr>
      <w:r>
        <w:rPr>
          <w:rFonts w:ascii="Arial" w:cs="Arial" w:eastAsia="Arial" w:hAnsi="Arial"/>
          <w:b w:val="false"/>
          <w:bCs w:val="false"/>
          <w:sz w:val="20"/>
          <w:szCs w:val="20"/>
        </w:rPr>
        <w:t xml:space="preserve"/>
      </w:r>
    </w:p>
    <w:p>
      <w:pPr>
        <w:pStyle w:val="Heading1"/>
        <w:spacing w:after="160" w:before="320"/>
      </w:pPr>
      <w:r>
        <w:rPr>
          <w:rFonts w:ascii="Arial" w:cs="Arial" w:eastAsia="Arial" w:hAnsi="Arial"/>
          <w:b/>
          <w:bCs/>
          <w:color w:val="1F4E79"/>
          <w:sz w:val="28"/>
          <w:szCs w:val="28"/>
        </w:rPr>
        <w:t xml:space="preserve">4. Análise de Causa Raiz</w:t>
      </w:r>
    </w:p>
    <w:p>
      <w:pPr>
        <w:pStyle w:val="Heading2"/>
        <w:spacing w:after="120" w:before="240"/>
      </w:pPr>
      <w:r>
        <w:rPr>
          <w:rFonts w:ascii="Arial" w:cs="Arial" w:eastAsia="Arial" w:hAnsi="Arial"/>
          <w:b/>
          <w:bCs/>
          <w:color w:val="2E75B6"/>
          <w:sz w:val="24"/>
          <w:szCs w:val="24"/>
        </w:rPr>
        <w:t xml:space="preserve">4.1 Causa Raiz Primária — Regras de Firewall APIM→AKS com IPs Estáticos</w:t>
      </w:r>
    </w:p>
    <w:p>
      <w:pPr>
        <w:spacing w:after="80" w:before="80"/>
        <w:jc w:val="both"/>
      </w:pPr>
      <w:r>
        <w:rPr>
          <w:rFonts w:ascii="Arial" w:cs="Arial" w:eastAsia="Arial" w:hAnsi="Arial"/>
          <w:b w:val="false"/>
          <w:bCs w:val="false"/>
          <w:sz w:val="20"/>
          <w:szCs w:val="20"/>
        </w:rPr>
        <w:t xml:space="preserve">As regras de firewall entre o APIM e o AKS estavam configuradas para liberar apenas IPs estáticos específicos. No Kubernetes, os IPs de pods são efêmeros: mudam a cada reinicialização, escalonamento ou substituição. Essa configuração criava uma condição silenciosa em que pods com IPs não listados tinham seu tráfego bloqueado, gerando acúmulo de carga nos demais, saturação de CPU e falha na inicialização de novos pods.</w:t>
      </w:r>
    </w:p>
    <w:p>
      <w:pPr>
        <w:spacing w:after="80" w:before="80"/>
        <w:jc w:val="both"/>
      </w:pPr>
      <w:r>
        <w:rPr>
          <w:rFonts w:ascii="Arial" w:cs="Arial" w:eastAsia="Arial" w:hAnsi="Arial"/>
          <w:b w:val="false"/>
          <w:bCs w:val="false"/>
          <w:sz w:val="20"/>
          <w:szCs w:val="20"/>
        </w:rPr>
        <w:t xml:space="preserve">Essa condição era preexistente à CRQ e permaneceria latente até qualquer evento que gerasse variação relevante na distribuição de pods. A investigação sobre ocorrências residuais pós-correção do firewall segue em andamento.</w:t>
      </w:r>
    </w:p>
    <w:p>
      <w:pPr>
        <w:spacing w:after="80" w:before="80"/>
        <w:jc w:val="left"/>
      </w:pPr>
      <w:r>
        <w:rPr>
          <w:rFonts w:ascii="Arial" w:cs="Arial" w:eastAsia="Arial" w:hAnsi="Arial"/>
          <w:b w:val="false"/>
          <w:bCs w:val="false"/>
          <w:sz w:val="20"/>
          <w:szCs w:val="20"/>
        </w:rPr>
        <w:t xml:space="preserve"/>
      </w:r>
    </w:p>
    <w:p>
      <w:pPr>
        <w:pStyle w:val="Heading2"/>
        <w:spacing w:after="120" w:before="240"/>
      </w:pPr>
      <w:r>
        <w:rPr>
          <w:rFonts w:ascii="Arial" w:cs="Arial" w:eastAsia="Arial" w:hAnsi="Arial"/>
          <w:b/>
          <w:bCs/>
          <w:color w:val="2E75B6"/>
          <w:sz w:val="24"/>
          <w:szCs w:val="24"/>
        </w:rPr>
        <w:t xml:space="preserve">4.2 Fator Agravante — Quota Insuficiente para Autoscale EASv4</w:t>
      </w:r>
    </w:p>
    <w:p>
      <w:pPr>
        <w:spacing w:after="80" w:before="80"/>
        <w:jc w:val="both"/>
      </w:pPr>
      <w:r>
        <w:rPr>
          <w:rFonts w:ascii="Arial" w:cs="Arial" w:eastAsia="Arial" w:hAnsi="Arial"/>
          <w:b w:val="false"/>
          <w:bCs w:val="false"/>
          <w:sz w:val="20"/>
          <w:szCs w:val="20"/>
        </w:rPr>
        <w:t xml:space="preserve">A falta de quota disponível na família EASv4 impediu o autoscaler de provisionar novos nós para compensar a sobrecarga. Registros de logs indicam que o cluster já havia tentado escalar por volta das 04:00, sem sucesso e sem geração de alerta — evidenciando que a limitação de quota antecede o acionamento do incidente em mais de quatro horas.</w:t>
      </w:r>
    </w:p>
    <w:p>
      <w:pPr>
        <w:spacing w:after="80" w:before="80"/>
        <w:jc w:val="left"/>
      </w:pPr>
      <w:r>
        <w:rPr>
          <w:rFonts w:ascii="Arial" w:cs="Arial" w:eastAsia="Arial" w:hAnsi="Arial"/>
          <w:b w:val="false"/>
          <w:bCs w:val="false"/>
          <w:sz w:val="20"/>
          <w:szCs w:val="20"/>
        </w:rPr>
        <w:t xml:space="preserve"/>
      </w:r>
    </w:p>
    <w:p>
      <w:pPr>
        <w:pStyle w:val="Heading2"/>
        <w:spacing w:after="120" w:before="240"/>
      </w:pPr>
      <w:r>
        <w:rPr>
          <w:rFonts w:ascii="Arial" w:cs="Arial" w:eastAsia="Arial" w:hAnsi="Arial"/>
          <w:b/>
          <w:bCs/>
          <w:color w:val="2E75B6"/>
          <w:sz w:val="24"/>
          <w:szCs w:val="24"/>
        </w:rPr>
        <w:t xml:space="preserve">4.3 Gatilho — CRQ de 01:00–02:21</w:t>
      </w:r>
    </w:p>
    <w:p>
      <w:pPr>
        <w:spacing w:after="80" w:before="80"/>
        <w:jc w:val="both"/>
      </w:pPr>
      <w:r>
        <w:rPr>
          <w:rFonts w:ascii="Arial" w:cs="Arial" w:eastAsia="Arial" w:hAnsi="Arial"/>
          <w:b w:val="false"/>
          <w:bCs w:val="false"/>
          <w:sz w:val="20"/>
          <w:szCs w:val="20"/>
        </w:rPr>
        <w:t xml:space="preserve">O resize do nodepool para EASv4, executado e concluído com sucesso entre 01:00 e 02:21, redistribuiu os pods no cluster. Essa redistribuição elevou a proporção de pods com IPs não cobertos pelas regras estáticas de firewall, fazendo com que as limitações preexistentes se manifestassem sob a carga de produção do período diurno. A CRQ não introduziu nenhum dos problemas identificados — criou as condições para que se tornassem visíveis.</w:t>
      </w:r>
    </w:p>
    <w:p>
      <w:pPr>
        <w:spacing w:after="80" w:before="80"/>
        <w:jc w:val="left"/>
      </w:pPr>
      <w:r>
        <w:rPr>
          <w:rFonts w:ascii="Arial" w:cs="Arial" w:eastAsia="Arial" w:hAnsi="Arial"/>
          <w:b w:val="false"/>
          <w:bCs w:val="false"/>
          <w:sz w:val="20"/>
          <w:szCs w:val="20"/>
        </w:rPr>
        <w:t xml:space="preserve"/>
      </w:r>
    </w:p>
    <w:p>
      <w:pPr>
        <w:pStyle w:val="Heading2"/>
        <w:spacing w:after="120" w:before="240"/>
      </w:pPr>
      <w:r>
        <w:rPr>
          <w:rFonts w:ascii="Arial" w:cs="Arial" w:eastAsia="Arial" w:hAnsi="Arial"/>
          <w:b/>
          <w:bCs/>
          <w:color w:val="2E75B6"/>
          <w:sz w:val="24"/>
          <w:szCs w:val="24"/>
        </w:rPr>
        <w:t xml:space="preserve">4.4 Por que os problemas não foram detectados antes?</w:t>
      </w:r>
    </w:p>
    <w:p>
      <w:pPr>
        <w:pStyle w:val="ListParagraph"/>
        <w:numPr>
          <w:ilvl w:val="0"/>
          <w:numId w:val="2"/>
        </w:numPr>
        <w:spacing w:after="60" w:before="60"/>
      </w:pPr>
      <w:r>
        <w:rPr>
          <w:rFonts w:ascii="Arial" w:cs="Arial" w:eastAsia="Arial" w:hAnsi="Arial"/>
          <w:sz w:val="20"/>
          <w:szCs w:val="20"/>
        </w:rPr>
        <w:t xml:space="preserve">A configuração de IPs estáticos no firewall APIM→AKS não havia sido revisada, sendo incompatível com o comportamento dinâmico do Kubernetes.</w:t>
      </w:r>
    </w:p>
    <w:p>
      <w:pPr>
        <w:pStyle w:val="ListParagraph"/>
        <w:numPr>
          <w:ilvl w:val="0"/>
          <w:numId w:val="2"/>
        </w:numPr>
        <w:spacing w:after="60" w:before="60"/>
      </w:pPr>
      <w:r>
        <w:rPr>
          <w:rFonts w:ascii="Arial" w:cs="Arial" w:eastAsia="Arial" w:hAnsi="Arial"/>
          <w:sz w:val="20"/>
          <w:szCs w:val="20"/>
        </w:rPr>
        <w:t xml:space="preserve">Em cargas menores, a proporção de tráfego bloqueado não era suficiente para gerar degradação perceptível, mascarando a limitação por tempo indeterminado.</w:t>
      </w:r>
    </w:p>
    <w:p>
      <w:pPr>
        <w:pStyle w:val="ListParagraph"/>
        <w:numPr>
          <w:ilvl w:val="0"/>
          <w:numId w:val="2"/>
        </w:numPr>
        <w:spacing w:after="60" w:before="60"/>
      </w:pPr>
      <w:r>
        <w:rPr>
          <w:rFonts w:ascii="Arial" w:cs="Arial" w:eastAsia="Arial" w:hAnsi="Arial"/>
          <w:sz w:val="20"/>
          <w:szCs w:val="20"/>
        </w:rPr>
        <w:t xml:space="preserve">A tentativa de autoscale das 04:00 falhou silenciosamente — não havia alerta configurado para falhas de escalonamento por quota insuficiente.</w:t>
      </w:r>
    </w:p>
    <w:p>
      <w:pPr>
        <w:pStyle w:val="ListParagraph"/>
        <w:numPr>
          <w:ilvl w:val="0"/>
          <w:numId w:val="2"/>
        </w:numPr>
        <w:spacing w:after="60" w:before="60"/>
      </w:pPr>
      <w:r>
        <w:rPr>
          <w:rFonts w:ascii="Arial" w:cs="Arial" w:eastAsia="Arial" w:hAnsi="Arial"/>
          <w:sz w:val="20"/>
          <w:szCs w:val="20"/>
        </w:rPr>
        <w:t xml:space="preserve">O checklist de CRQs não contemplava verificação de regras de firewall baseadas em IPs que pudessem ser impactadas por redistribuição de pods.</w:t>
      </w:r>
    </w:p>
    <w:p>
      <w:pPr>
        <w:spacing w:after="80" w:before="80"/>
        <w:jc w:val="left"/>
      </w:pPr>
      <w:r>
        <w:rPr>
          <w:rFonts w:ascii="Arial" w:cs="Arial" w:eastAsia="Arial" w:hAnsi="Arial"/>
          <w:b w:val="false"/>
          <w:bCs w:val="false"/>
          <w:sz w:val="20"/>
          <w:szCs w:val="20"/>
        </w:rPr>
        <w:t xml:space="preserve"/>
      </w:r>
    </w:p>
    <w:p>
      <w:pPr>
        <w:pStyle w:val="Heading1"/>
        <w:spacing w:after="160" w:before="320"/>
      </w:pPr>
      <w:r>
        <w:rPr>
          <w:rFonts w:ascii="Arial" w:cs="Arial" w:eastAsia="Arial" w:hAnsi="Arial"/>
          <w:b/>
          <w:bCs/>
          <w:color w:val="1F4E79"/>
          <w:sz w:val="28"/>
          <w:szCs w:val="28"/>
        </w:rPr>
        <w:t xml:space="preserve">5. Ações de Mitigação (Executadas Durante o Incidente)</w:t>
      </w:r>
    </w:p>
    <w:p>
      <w:pPr>
        <w:pStyle w:val="ListParagraph"/>
        <w:numPr>
          <w:ilvl w:val="0"/>
          <w:numId w:val="2"/>
        </w:numPr>
        <w:spacing w:after="60" w:before="60"/>
      </w:pPr>
      <w:r>
        <w:rPr>
          <w:rFonts w:ascii="Arial" w:cs="Arial" w:eastAsia="Arial" w:hAnsi="Arial"/>
          <w:sz w:val="20"/>
          <w:szCs w:val="20"/>
        </w:rPr>
        <w:t xml:space="preserve">08:40 — Identificada quota insuficiente EASv4. Abertura imediata do chamado Microsoft #2606250040002754 para aumento de quota.</w:t>
      </w:r>
    </w:p>
    <w:p>
      <w:pPr>
        <w:pStyle w:val="ListParagraph"/>
        <w:numPr>
          <w:ilvl w:val="0"/>
          <w:numId w:val="2"/>
        </w:numPr>
        <w:spacing w:after="60" w:before="60"/>
      </w:pPr>
      <w:r>
        <w:rPr>
          <w:rFonts w:ascii="Arial" w:cs="Arial" w:eastAsia="Arial" w:hAnsi="Arial"/>
          <w:sz w:val="20"/>
          <w:szCs w:val="20"/>
        </w:rPr>
        <w:t xml:space="preserve">08:50 — Criação de nodepool FSv2 com as mesmas labels do nodepool app1, absorvendo imediatamente os pods pendentes e iniciando a estabilização operacional.</w:t>
      </w:r>
    </w:p>
    <w:p>
      <w:pPr>
        <w:pStyle w:val="ListParagraph"/>
        <w:numPr>
          <w:ilvl w:val="0"/>
          <w:numId w:val="2"/>
        </w:numPr>
        <w:spacing w:after="60" w:before="60"/>
      </w:pPr>
      <w:r>
        <w:rPr>
          <w:rFonts w:ascii="Arial" w:cs="Arial" w:eastAsia="Arial" w:hAnsi="Arial"/>
          <w:sz w:val="20"/>
          <w:szCs w:val="20"/>
        </w:rPr>
        <w:t xml:space="preserve">~09:45 — Equipe de desenvolvimento eleva réplicas do sinbm-servico-login para 40 pods, distribuindo a carga e consolidando a estabilização operacional.</w:t>
      </w:r>
    </w:p>
    <w:p>
      <w:pPr>
        <w:pStyle w:val="ListParagraph"/>
        <w:numPr>
          <w:ilvl w:val="0"/>
          <w:numId w:val="2"/>
        </w:numPr>
        <w:spacing w:after="60" w:before="60"/>
      </w:pPr>
      <w:r>
        <w:rPr>
          <w:rFonts w:ascii="Arial" w:cs="Arial" w:eastAsia="Arial" w:hAnsi="Arial"/>
          <w:sz w:val="20"/>
          <w:szCs w:val="20"/>
        </w:rPr>
        <w:t xml:space="preserve">~10:00 — Identificada configuração de IPs estáticos nas regras de firewall APIM→AKS. Acionamento imediato da equipe de redes.</w:t>
      </w:r>
    </w:p>
    <w:p>
      <w:pPr>
        <w:pStyle w:val="ListParagraph"/>
        <w:numPr>
          <w:ilvl w:val="0"/>
          <w:numId w:val="2"/>
        </w:numPr>
        <w:spacing w:after="60" w:before="60"/>
      </w:pPr>
      <w:r>
        <w:rPr>
          <w:rFonts w:ascii="Arial" w:cs="Arial" w:eastAsia="Arial" w:hAnsi="Arial"/>
          <w:sz w:val="20"/>
          <w:szCs w:val="20"/>
        </w:rPr>
        <w:t xml:space="preserve">10:30 — Equipe de redes aplica range CIDR completo APIM→AKS no firewall. Redução significativa de erros. Ocorrências residuais permanecem sob investigação.</w:t>
      </w:r>
    </w:p>
    <w:p>
      <w:pPr>
        <w:spacing w:after="80" w:before="80"/>
        <w:jc w:val="left"/>
      </w:pPr>
      <w:r>
        <w:rPr>
          <w:rFonts w:ascii="Arial" w:cs="Arial" w:eastAsia="Arial" w:hAnsi="Arial"/>
          <w:b w:val="false"/>
          <w:bCs w:val="false"/>
          <w:sz w:val="20"/>
          <w:szCs w:val="20"/>
        </w:rPr>
        <w:t xml:space="preserve"/>
      </w:r>
    </w:p>
    <w:p>
      <w:pPr>
        <w:pStyle w:val="Heading1"/>
        <w:spacing w:after="160" w:before="320"/>
      </w:pPr>
      <w:r>
        <w:rPr>
          <w:rFonts w:ascii="Arial" w:cs="Arial" w:eastAsia="Arial" w:hAnsi="Arial"/>
          <w:b/>
          <w:bCs/>
          <w:color w:val="1F4E79"/>
          <w:sz w:val="28"/>
          <w:szCs w:val="28"/>
        </w:rPr>
        <w:t xml:space="preserve">6. Plano de Ações Corretivas e Preventivas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Ação</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Responsável</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Liberação do range CIDR completo APIM→AKS no firewall (10:30) — substituição das entradas de IPs estáticos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Redes / Cloud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Concluído</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Criação de nodepool FSv2 com labels equivalentes ao app1 (08:50)</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Cloud / Azure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Concluído</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Aumento de réplicas do sinbm-servico-login para 40 pods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Desenvolvimento</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Concluído</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Investigação de ocorrências residuais pós-correção do firewall</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Cloud / Azure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Em andamento</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Chamado de aumento de quota EASv4 junto à Microsoft (#2606250040002754)</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Cloud / Azure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Em andamento</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Revisão de todas as regras de firewall entre APIM e demais serviços AKS para identificar outros IPs estáticos a migrar para ranges CIDR</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Redes / Cloud</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 implementar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Inclusão de validação de quota no checklist de CRQs que envolvam troca de família de VM em nodepools de produção</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Cloud / Azure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 implementar</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Configuração de alertas para falhas de autoscale e quota no Azure Monitor</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Cloud / Azure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 implementar</w:t>
            </w:r>
          </w:p>
        </w:tc>
      </w:tr>
    </w:tbl>
    <w:p>
      <w:pPr>
        <w:spacing w:after="80" w:before="80"/>
        <w:jc w:val="left"/>
      </w:pPr>
      <w:r>
        <w:rPr>
          <w:rFonts w:ascii="Arial" w:cs="Arial" w:eastAsia="Arial" w:hAnsi="Arial"/>
          <w:b w:val="false"/>
          <w:bCs w:val="false"/>
          <w:sz w:val="20"/>
          <w:szCs w:val="20"/>
        </w:rPr>
        <w:t xml:space="preserve"/>
      </w:r>
    </w:p>
    <w:p>
      <w:pPr>
        <w:pStyle w:val="Heading1"/>
        <w:spacing w:after="160" w:before="320"/>
      </w:pPr>
      <w:r>
        <w:rPr>
          <w:rFonts w:ascii="Arial" w:cs="Arial" w:eastAsia="Arial" w:hAnsi="Arial"/>
          <w:b/>
          <w:bCs/>
          <w:color w:val="1F4E79"/>
          <w:sz w:val="28"/>
          <w:szCs w:val="28"/>
        </w:rPr>
        <w:t xml:space="preserve">7. Lições Aprendidas</w:t>
      </w:r>
    </w:p>
    <w:p>
      <w:pPr>
        <w:pStyle w:val="ListParagraph"/>
        <w:numPr>
          <w:ilvl w:val="0"/>
          <w:numId w:val="2"/>
        </w:numPr>
        <w:spacing w:after="60" w:before="60"/>
      </w:pPr>
      <w:r>
        <w:rPr>
          <w:rFonts w:ascii="Arial" w:cs="Arial" w:eastAsia="Arial" w:hAnsi="Arial"/>
          <w:sz w:val="20"/>
          <w:szCs w:val="20"/>
        </w:rPr>
        <w:t xml:space="preserve">Regras de firewall que se comunicam com workloads Kubernetes devem ser baseadas em ranges CIDR, nunca em IPs estáticos de pods, dado o caráter efêmero desses endereços.</w:t>
      </w:r>
    </w:p>
    <w:p>
      <w:pPr>
        <w:pStyle w:val="ListParagraph"/>
        <w:numPr>
          <w:ilvl w:val="0"/>
          <w:numId w:val="2"/>
        </w:numPr>
        <w:spacing w:after="60" w:before="60"/>
      </w:pPr>
      <w:r>
        <w:rPr>
          <w:rFonts w:ascii="Arial" w:cs="Arial" w:eastAsia="Arial" w:hAnsi="Arial"/>
          <w:sz w:val="20"/>
          <w:szCs w:val="20"/>
        </w:rPr>
        <w:t xml:space="preserve">Falhas silenciosas de autoscale por quota insuficiente são um risco operacional relevante. Alertas dedicados para esse evento devem ser configurados no Azure Monitor.</w:t>
      </w:r>
    </w:p>
    <w:p>
      <w:pPr>
        <w:pStyle w:val="ListParagraph"/>
        <w:numPr>
          <w:ilvl w:val="0"/>
          <w:numId w:val="2"/>
        </w:numPr>
        <w:spacing w:after="60" w:before="60"/>
      </w:pPr>
      <w:r>
        <w:rPr>
          <w:rFonts w:ascii="Arial" w:cs="Arial" w:eastAsia="Arial" w:hAnsi="Arial"/>
          <w:sz w:val="20"/>
          <w:szCs w:val="20"/>
        </w:rPr>
        <w:t xml:space="preserve">A tentativa de escalonamento das 04:00 — mais de quatro horas antes do acionamento — demonstra que a limitação de quota já estava ativa antes da janela de maior impacto, desvinculando ainda mais a causa raiz da CRQ executada naquela madrugada.</w:t>
      </w:r>
    </w:p>
    <w:p>
      <w:pPr>
        <w:pStyle w:val="ListParagraph"/>
        <w:numPr>
          <w:ilvl w:val="0"/>
          <w:numId w:val="2"/>
        </w:numPr>
        <w:spacing w:after="60" w:before="60"/>
      </w:pPr>
      <w:r>
        <w:rPr>
          <w:rFonts w:ascii="Arial" w:cs="Arial" w:eastAsia="Arial" w:hAnsi="Arial"/>
          <w:sz w:val="20"/>
          <w:szCs w:val="20"/>
        </w:rPr>
        <w:t xml:space="preserve">A investigação foi conduzida em camadas — contenção operacional primeiro, identificação da causa raiz estrutural depois — demonstrando maturidade técnica e priorização correta durante o incidente.</w:t>
      </w:r>
    </w:p>
    <w:p>
      <w:pPr>
        <w:pStyle w:val="ListParagraph"/>
        <w:numPr>
          <w:ilvl w:val="0"/>
          <w:numId w:val="2"/>
        </w:numPr>
        <w:spacing w:after="60" w:before="60"/>
      </w:pPr>
      <w:r>
        <w:rPr>
          <w:rFonts w:ascii="Arial" w:cs="Arial" w:eastAsia="Arial" w:hAnsi="Arial"/>
          <w:sz w:val="20"/>
          <w:szCs w:val="20"/>
        </w:rPr>
        <w:t xml:space="preserve">A criação do nodepool FSv2 como contingência imediata mostrou-se estratégia eficaz e deve ser documentada como procedimento padrão para situações similares.</w:t>
      </w:r>
    </w:p>
    <w:p>
      <w:pPr>
        <w:spacing w:after="80" w:before="80"/>
        <w:jc w:val="left"/>
      </w:pPr>
      <w:r>
        <w:rPr>
          <w:rFonts w:ascii="Arial" w:cs="Arial" w:eastAsia="Arial" w:hAnsi="Arial"/>
          <w:b w:val="false"/>
          <w:bCs w:val="false"/>
          <w:sz w:val="20"/>
          <w:szCs w:val="20"/>
        </w:rPr>
        <w:t xml:space="preserve"/>
      </w:r>
    </w:p>
    <w:p>
      <w:pPr>
        <w:pBdr>
          <w:bottom w:val="single" w:color="2E75B6" w:sz="4" w:space="1"/>
        </w:pBdr>
        <w:spacing w:after="120" w:before="120"/>
      </w:pPr>
    </w:p>
    <w:p>
      <w:pPr>
        <w:spacing w:after="80" w:before="80"/>
        <w:jc w:val="left"/>
      </w:pPr>
      <w:r>
        <w:rPr>
          <w:rFonts w:ascii="Arial" w:cs="Arial" w:eastAsia="Arial" w:hAnsi="Arial"/>
          <w:b w:val="false"/>
          <w:bCs w:val="false"/>
          <w:sz w:val="20"/>
          <w:szCs w:val="20"/>
        </w:rPr>
        <w:t xml:space="preserve">Documento elaborado pela equipe de Cloud / Azure • 25/06/2026 — Versão preliminar, sujeita a atualização conforme andamento da investigação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2026-06-25T14:28:39.799Z</dcterms:created>
  <dcterms:modified xsi:type="dcterms:W3CDTF">2026-06-25T14:28:39.799Z</dcterms:modified>
</cp:coreProperties>
</file>

<file path=docProps/custom.xml><?xml version="1.0" encoding="utf-8"?>
<Properties xmlns="http://schemas.openxmlformats.org/officeDocument/2006/custom-properties" xmlns:vt="http://schemas.openxmlformats.org/officeDocument/2006/docPropsVTypes"/>
</file>