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AD0D" w14:textId="77777777" w:rsidR="0055073C" w:rsidRDefault="00000000">
      <w:pPr>
        <w:spacing w:before="2000" w:after="200"/>
        <w:jc w:val="center"/>
      </w:pPr>
      <w:r>
        <w:rPr>
          <w:b/>
          <w:bCs/>
          <w:color w:val="003087"/>
        </w:rPr>
        <w:t>CAIXA ECONÔMICA FEDERAL</w:t>
      </w:r>
    </w:p>
    <w:p w14:paraId="5D839573" w14:textId="7DAF06CE" w:rsidR="0055073C" w:rsidRDefault="00A9380E">
      <w:pPr>
        <w:spacing w:after="600"/>
        <w:jc w:val="center"/>
      </w:pPr>
      <w:r>
        <w:rPr>
          <w:color w:val="555555"/>
          <w:sz w:val="20"/>
          <w:szCs w:val="20"/>
        </w:rPr>
        <w:t>Equipe Nuvem Pública</w:t>
      </w:r>
    </w:p>
    <w:p w14:paraId="1C0952CB" w14:textId="57AAA742" w:rsidR="0055073C" w:rsidRDefault="00000000">
      <w:pPr>
        <w:pBdr>
          <w:top w:val="single" w:sz="12" w:space="8" w:color="003087"/>
          <w:bottom w:val="single" w:sz="12" w:space="8" w:color="003087"/>
        </w:pBdr>
        <w:spacing w:before="200" w:after="200"/>
        <w:jc w:val="center"/>
      </w:pPr>
      <w:r>
        <w:rPr>
          <w:b/>
          <w:bCs/>
          <w:color w:val="003087"/>
          <w:sz w:val="40"/>
          <w:szCs w:val="40"/>
        </w:rPr>
        <w:t xml:space="preserve">Monitoria </w:t>
      </w:r>
      <w:r w:rsidR="00A9380E">
        <w:rPr>
          <w:b/>
          <w:bCs/>
          <w:color w:val="003087"/>
          <w:sz w:val="40"/>
          <w:szCs w:val="40"/>
        </w:rPr>
        <w:t xml:space="preserve">Loterias </w:t>
      </w:r>
      <w:r>
        <w:rPr>
          <w:b/>
          <w:bCs/>
          <w:color w:val="003087"/>
          <w:sz w:val="40"/>
          <w:szCs w:val="40"/>
        </w:rPr>
        <w:t>PRD</w:t>
      </w:r>
    </w:p>
    <w:p w14:paraId="2CB9EC72" w14:textId="3EC3BEEB" w:rsidR="0055073C" w:rsidRDefault="0055073C">
      <w:pPr>
        <w:spacing w:before="200" w:after="200"/>
        <w:jc w:val="center"/>
      </w:pPr>
    </w:p>
    <w:p w14:paraId="73B09BD1" w14:textId="77777777" w:rsidR="0055073C" w:rsidRDefault="0055073C">
      <w:pPr>
        <w:spacing w:before="60" w:after="60"/>
      </w:pPr>
    </w:p>
    <w:p w14:paraId="595688ED" w14:textId="77777777" w:rsidR="0055073C" w:rsidRDefault="0055073C">
      <w:pPr>
        <w:spacing w:before="60" w:after="60"/>
      </w:pPr>
    </w:p>
    <w:p w14:paraId="67CFCA6E" w14:textId="3777797D" w:rsidR="0055073C" w:rsidRDefault="00000000">
      <w:pPr>
        <w:spacing w:before="1200" w:after="80"/>
        <w:jc w:val="center"/>
      </w:pPr>
      <w:r>
        <w:rPr>
          <w:color w:val="666666"/>
          <w:sz w:val="20"/>
          <w:szCs w:val="20"/>
        </w:rPr>
        <w:t xml:space="preserve">Documento elaborado pela Equipe de </w:t>
      </w:r>
      <w:r w:rsidR="001B548C">
        <w:rPr>
          <w:color w:val="666666"/>
          <w:sz w:val="20"/>
          <w:szCs w:val="20"/>
        </w:rPr>
        <w:t>Nuvem Pública</w:t>
      </w:r>
    </w:p>
    <w:p w14:paraId="2995D21A" w14:textId="77777777" w:rsidR="0055073C" w:rsidRDefault="00000000">
      <w:pPr>
        <w:jc w:val="center"/>
      </w:pPr>
      <w:r>
        <w:rPr>
          <w:color w:val="666666"/>
          <w:sz w:val="20"/>
          <w:szCs w:val="20"/>
        </w:rPr>
        <w:t>Maio de 2026</w:t>
      </w:r>
    </w:p>
    <w:p w14:paraId="73A9F7C0" w14:textId="77777777" w:rsidR="0055073C" w:rsidRDefault="0055073C">
      <w:pPr>
        <w:sectPr w:rsidR="0055073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A926574" w14:textId="77777777" w:rsidR="0055073C" w:rsidRDefault="00000000">
      <w:pPr>
        <w:pStyle w:val="Ttulo1"/>
        <w:pBdr>
          <w:bottom w:val="single" w:sz="8" w:space="4" w:color="003087"/>
        </w:pBdr>
      </w:pPr>
      <w:r>
        <w:lastRenderedPageBreak/>
        <w:t>1. Objetivo deste Documento</w:t>
      </w:r>
    </w:p>
    <w:p w14:paraId="3D4AF1C7" w14:textId="435D6653" w:rsidR="0055073C" w:rsidRDefault="00000000">
      <w:pPr>
        <w:spacing w:before="80" w:after="100"/>
      </w:pPr>
      <w:r>
        <w:t>Este documento tem por finalidade apresentar a estrutura, o propósito e o valor estratégico do Dashboard de Monitoria SILCE PRD, ferramenta hospedada no Microsoft Azure Portal e utilizada pela equipe de infraestrutura e plataformas como instrumento de suporte operacional para os serviços digitais das Loterias Caixa.</w:t>
      </w:r>
    </w:p>
    <w:p w14:paraId="7F2A2293" w14:textId="77777777" w:rsidR="0055073C" w:rsidRDefault="0055073C">
      <w:pPr>
        <w:spacing w:before="60" w:after="60"/>
      </w:pPr>
    </w:p>
    <w:p w14:paraId="0E7D65F4" w14:textId="77777777" w:rsidR="0055073C" w:rsidRDefault="00000000">
      <w:pPr>
        <w:pStyle w:val="Ttulo1"/>
        <w:pBdr>
          <w:bottom w:val="single" w:sz="8" w:space="4" w:color="003087"/>
        </w:pBdr>
      </w:pPr>
      <w:r>
        <w:t>2. Contexto e Finalidade</w:t>
      </w:r>
    </w:p>
    <w:p w14:paraId="7BBD018D" w14:textId="77777777" w:rsidR="0055073C" w:rsidRDefault="00000000">
      <w:pPr>
        <w:spacing w:before="80" w:after="100"/>
      </w:pPr>
      <w:r>
        <w:t xml:space="preserve">O Dashboard SILCE PRD Monitoria foi concebido como uma ferramenta de </w:t>
      </w:r>
      <w:proofErr w:type="spellStart"/>
      <w:r>
        <w:t>observabilidade</w:t>
      </w:r>
      <w:proofErr w:type="spellEnd"/>
      <w:r>
        <w:t xml:space="preserve"> passiva — ou seja, não opera como um sistema de alertas em tempo real, mas sim como um painel de análise histórica e diagnóstico técnico. Sua função primária é:</w:t>
      </w:r>
    </w:p>
    <w:p w14:paraId="1CF17C1B" w14:textId="77777777" w:rsidR="0055073C" w:rsidRDefault="0055073C">
      <w:pPr>
        <w:spacing w:before="60" w:after="60"/>
      </w:pPr>
    </w:p>
    <w:p w14:paraId="7732D147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Suportar a monitoria operacional dos serviços de Loterias Caixa em ambiente de produção.</w:t>
      </w:r>
    </w:p>
    <w:p w14:paraId="739376D8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Servir como base de evidências e apoio a troubleshooting durante ou após ocorrências e incidentes.</w:t>
      </w:r>
    </w:p>
    <w:p w14:paraId="7B432571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Oferecer visibilidade consolidada sobre o comportamento dos principais componentes da infraestrutura crítica.</w:t>
      </w:r>
    </w:p>
    <w:p w14:paraId="5A004C52" w14:textId="77777777" w:rsidR="0055073C" w:rsidRDefault="0055073C">
      <w:pPr>
        <w:spacing w:before="60" w:after="60"/>
      </w:pPr>
    </w:p>
    <w:p w14:paraId="587CD1C2" w14:textId="07ACECFE" w:rsidR="0055073C" w:rsidRDefault="00000000">
      <w:pPr>
        <w:spacing w:before="80" w:after="100"/>
      </w:pPr>
      <w:r>
        <w:t>A ferramenta centraliza em um único painel métricas de diferentes camadas tecnológicas</w:t>
      </w:r>
      <w:r w:rsidR="00A9380E">
        <w:t xml:space="preserve"> </w:t>
      </w:r>
      <w:r>
        <w:t>aplicação, banco de dados, orquestração de containers e gateway de entrada, permitindo que a equipe técnica construa uma narrativa consistente sobre eventos passados e tome decisões embasadas em dados.</w:t>
      </w:r>
    </w:p>
    <w:p w14:paraId="4787F5DD" w14:textId="77777777" w:rsidR="0055073C" w:rsidRDefault="0055073C">
      <w:pPr>
        <w:spacing w:before="60" w:after="60"/>
      </w:pPr>
    </w:p>
    <w:p w14:paraId="45EFF8D3" w14:textId="77777777" w:rsidR="0055073C" w:rsidRDefault="00000000">
      <w:pPr>
        <w:pStyle w:val="Ttulo1"/>
        <w:pBdr>
          <w:bottom w:val="single" w:sz="8" w:space="4" w:color="003087"/>
        </w:pBdr>
      </w:pPr>
      <w:r>
        <w:t>3. Componentes Monitorados</w:t>
      </w:r>
    </w:p>
    <w:p w14:paraId="222992D1" w14:textId="77777777" w:rsidR="0055073C" w:rsidRDefault="00000000">
      <w:pPr>
        <w:spacing w:before="80" w:after="100"/>
      </w:pPr>
      <w:r>
        <w:t>O dashboard está estruturado em seções que cobrem os principais pilares da infraestrutura SILCE em produção. A tabela abaixo resume cada seção e sua relevância para o negócio:</w:t>
      </w:r>
    </w:p>
    <w:p w14:paraId="2FF21F70" w14:textId="77777777" w:rsidR="0055073C" w:rsidRDefault="0055073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26"/>
        <w:gridCol w:w="3500"/>
      </w:tblGrid>
      <w:tr w:rsidR="0055073C" w14:paraId="7BFC3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00308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CD869" w14:textId="77777777" w:rsidR="0055073C" w:rsidRDefault="00000000">
            <w:r>
              <w:rPr>
                <w:b/>
                <w:bCs/>
                <w:color w:val="FFFFFF"/>
                <w:sz w:val="20"/>
                <w:szCs w:val="20"/>
              </w:rPr>
              <w:t>Seção do Dashboard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00308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73458" w14:textId="77777777" w:rsidR="0055073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Componentes Cobertos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00308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00C15" w14:textId="77777777" w:rsidR="0055073C" w:rsidRDefault="00000000">
            <w:r>
              <w:rPr>
                <w:b/>
                <w:bCs/>
                <w:color w:val="FFFFFF"/>
                <w:sz w:val="20"/>
                <w:szCs w:val="20"/>
              </w:rPr>
              <w:t>Relevância para o Negócio</w:t>
            </w:r>
          </w:p>
        </w:tc>
      </w:tr>
      <w:tr w:rsidR="0055073C" w14:paraId="3A6921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8333B" w14:textId="77777777" w:rsidR="0055073C" w:rsidRDefault="00000000">
            <w:r>
              <w:rPr>
                <w:b/>
                <w:bCs/>
                <w:sz w:val="20"/>
                <w:szCs w:val="20"/>
              </w:rPr>
              <w:t>Infra Overview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2AA4" w14:textId="77777777" w:rsidR="0055073C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Map,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Insights (APIM SILCE)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A7EA3" w14:textId="77777777" w:rsidR="0055073C" w:rsidRDefault="00000000">
            <w:r>
              <w:rPr>
                <w:sz w:val="20"/>
                <w:szCs w:val="20"/>
              </w:rPr>
              <w:t>Visão geral do fluxo de requisições e saúde do gateway de entrada da plataforma.</w:t>
            </w:r>
          </w:p>
        </w:tc>
      </w:tr>
      <w:tr w:rsidR="0055073C" w14:paraId="2704F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01710" w14:textId="77777777" w:rsidR="0055073C" w:rsidRDefault="00000000">
            <w:r>
              <w:rPr>
                <w:b/>
                <w:bCs/>
                <w:sz w:val="20"/>
                <w:szCs w:val="20"/>
              </w:rPr>
              <w:t>SILCE Carrinho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1C4FD" w14:textId="77777777" w:rsidR="0055073C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Map e Response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Falha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EE145" w14:textId="77777777" w:rsidR="0055073C" w:rsidRDefault="00000000">
            <w:r>
              <w:rPr>
                <w:sz w:val="20"/>
                <w:szCs w:val="20"/>
              </w:rPr>
              <w:t>Monitoria de erros HTTP nas transações do carrinho de apostas dos canais digitais.</w:t>
            </w:r>
          </w:p>
        </w:tc>
      </w:tr>
      <w:tr w:rsidR="0055073C" w14:paraId="50F1E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9BB6E" w14:textId="77777777" w:rsidR="0055073C" w:rsidRDefault="00000000">
            <w:r>
              <w:rPr>
                <w:b/>
                <w:bCs/>
                <w:sz w:val="20"/>
                <w:szCs w:val="20"/>
              </w:rPr>
              <w:t>SILCE Apostador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1586" w14:textId="77777777" w:rsidR="0055073C" w:rsidRDefault="00000000">
            <w:r>
              <w:rPr>
                <w:sz w:val="20"/>
                <w:szCs w:val="20"/>
              </w:rPr>
              <w:t xml:space="preserve">Volume de requisições, tempo de resposta, erros por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e exceções lançadas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E6FBF" w14:textId="77777777" w:rsidR="0055073C" w:rsidRDefault="00000000">
            <w:r>
              <w:rPr>
                <w:sz w:val="20"/>
                <w:szCs w:val="20"/>
              </w:rPr>
              <w:t>Diagnóstico de lentidão, falhas de autenticação e indisponibilidade em fluxos de aposta.</w:t>
            </w:r>
          </w:p>
        </w:tc>
      </w:tr>
      <w:tr w:rsidR="0055073C" w14:paraId="4D53A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40BA8" w14:textId="77777777" w:rsidR="0055073C" w:rsidRDefault="00000000">
            <w:r>
              <w:rPr>
                <w:b/>
                <w:bCs/>
                <w:sz w:val="20"/>
                <w:szCs w:val="20"/>
              </w:rPr>
              <w:t>SILCE Meio Pagamento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01B3A" w14:textId="77777777" w:rsidR="0055073C" w:rsidRDefault="00000000">
            <w:r>
              <w:rPr>
                <w:sz w:val="20"/>
                <w:szCs w:val="20"/>
              </w:rPr>
              <w:t>Operações por segundo, motivo de erros, taxa de aprovação/rejeição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148D3" w14:textId="77777777" w:rsidR="0055073C" w:rsidRDefault="00000000">
            <w:r>
              <w:rPr>
                <w:sz w:val="20"/>
                <w:szCs w:val="20"/>
              </w:rPr>
              <w:t>Acompanhamento da saúde dos fluxos de pagamento, com visibilidade sobre rejeições de transações.</w:t>
            </w:r>
          </w:p>
        </w:tc>
      </w:tr>
      <w:tr w:rsidR="0055073C" w14:paraId="77EDB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5DABF" w14:textId="77777777" w:rsidR="0055073C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SQL </w:t>
            </w:r>
            <w:proofErr w:type="spellStart"/>
            <w:r>
              <w:rPr>
                <w:b/>
                <w:bCs/>
                <w:sz w:val="20"/>
                <w:szCs w:val="20"/>
              </w:rPr>
              <w:t>Database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SILCE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596EC" w14:textId="77777777" w:rsidR="0055073C" w:rsidRDefault="00000000">
            <w:r>
              <w:rPr>
                <w:sz w:val="20"/>
                <w:szCs w:val="20"/>
              </w:rPr>
              <w:t>CPU, memória, Data I/O, Log I/O, Workers do Azure SQL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BA4CA" w14:textId="77777777" w:rsidR="0055073C" w:rsidRDefault="00000000">
            <w:r>
              <w:rPr>
                <w:sz w:val="20"/>
                <w:szCs w:val="20"/>
              </w:rPr>
              <w:t>Identificação de gargalos de banco de dados que impactam a performance das aplicações.</w:t>
            </w:r>
          </w:p>
        </w:tc>
      </w:tr>
      <w:tr w:rsidR="0055073C" w14:paraId="4873C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3FCC8" w14:textId="77777777" w:rsidR="0055073C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Application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Gateway (AGIC SILCE / SILCEFARMS)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57220" w14:textId="77777777" w:rsidR="0055073C" w:rsidRDefault="00000000">
            <w:r>
              <w:rPr>
                <w:sz w:val="20"/>
                <w:szCs w:val="20"/>
              </w:rPr>
              <w:t xml:space="preserve">Compute </w:t>
            </w: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  <w:r>
              <w:rPr>
                <w:sz w:val="20"/>
                <w:szCs w:val="20"/>
              </w:rPr>
              <w:t xml:space="preserve">, tempo de resposta, 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Unhealthy</w:t>
            </w:r>
            <w:proofErr w:type="spellEnd"/>
            <w:r>
              <w:rPr>
                <w:sz w:val="20"/>
                <w:szCs w:val="20"/>
              </w:rPr>
              <w:t xml:space="preserve"> Host Count, total de requisições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81DFF" w14:textId="77777777" w:rsidR="0055073C" w:rsidRDefault="00000000">
            <w:r>
              <w:rPr>
                <w:sz w:val="20"/>
                <w:szCs w:val="20"/>
              </w:rPr>
              <w:t>Monitoramento da camada de balanceamento e roteamento de tráfego para os serviços.</w:t>
            </w:r>
          </w:p>
        </w:tc>
      </w:tr>
      <w:tr w:rsidR="0055073C" w14:paraId="3D8E5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8CB19" w14:textId="77777777" w:rsidR="0055073C" w:rsidRDefault="00000000">
            <w:r>
              <w:rPr>
                <w:b/>
                <w:bCs/>
                <w:sz w:val="20"/>
                <w:szCs w:val="20"/>
              </w:rPr>
              <w:t xml:space="preserve">Azure </w:t>
            </w:r>
            <w:proofErr w:type="spellStart"/>
            <w:r>
              <w:rPr>
                <w:b/>
                <w:bCs/>
                <w:sz w:val="20"/>
                <w:szCs w:val="20"/>
              </w:rPr>
              <w:t>Kubernetes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Service (AKS SILCE)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44843" w14:textId="77777777" w:rsidR="0055073C" w:rsidRDefault="00000000">
            <w:r>
              <w:rPr>
                <w:sz w:val="20"/>
                <w:szCs w:val="20"/>
              </w:rPr>
              <w:t xml:space="preserve">CPU e memória por cluster e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, contagem de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workload</w:t>
            </w:r>
            <w:proofErr w:type="spellEnd"/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50570" w14:textId="77777777" w:rsidR="0055073C" w:rsidRDefault="00000000">
            <w:r>
              <w:rPr>
                <w:sz w:val="20"/>
                <w:szCs w:val="20"/>
              </w:rPr>
              <w:t>Visibilidade sobre a saúde dos contêineres que executam os microsserviços SILCE.</w:t>
            </w:r>
          </w:p>
        </w:tc>
      </w:tr>
      <w:tr w:rsidR="0055073C" w14:paraId="202A7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9D8D6" w14:textId="0A90DA2B" w:rsidR="0055073C" w:rsidRDefault="001B548C">
            <w:r>
              <w:rPr>
                <w:b/>
                <w:bCs/>
                <w:sz w:val="20"/>
                <w:szCs w:val="20"/>
              </w:rPr>
              <w:t xml:space="preserve">AKS - </w:t>
            </w:r>
            <w:r w:rsidR="00000000">
              <w:rPr>
                <w:b/>
                <w:bCs/>
                <w:sz w:val="20"/>
                <w:szCs w:val="20"/>
              </w:rPr>
              <w:t xml:space="preserve">CPU por Node (System / APPSILCE / </w:t>
            </w:r>
            <w:proofErr w:type="spellStart"/>
            <w:r w:rsidR="00000000">
              <w:rPr>
                <w:b/>
                <w:bCs/>
                <w:sz w:val="20"/>
                <w:szCs w:val="20"/>
              </w:rPr>
              <w:t>Worker</w:t>
            </w:r>
            <w:proofErr w:type="spellEnd"/>
            <w:r w:rsidR="0000000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03641" w14:textId="77777777" w:rsidR="0055073C" w:rsidRDefault="00000000">
            <w:r>
              <w:rPr>
                <w:sz w:val="20"/>
                <w:szCs w:val="20"/>
              </w:rPr>
              <w:t xml:space="preserve">CPU por node pool e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no AKS</w:t>
            </w:r>
          </w:p>
        </w:tc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E0B0B" w14:textId="77777777" w:rsidR="0055073C" w:rsidRDefault="00000000">
            <w:r>
              <w:rPr>
                <w:sz w:val="20"/>
                <w:szCs w:val="20"/>
              </w:rPr>
              <w:t xml:space="preserve">Permite identificar </w:t>
            </w:r>
            <w:proofErr w:type="spellStart"/>
            <w:r>
              <w:rPr>
                <w:sz w:val="20"/>
                <w:szCs w:val="20"/>
              </w:rPr>
              <w:t>hotspots</w:t>
            </w:r>
            <w:proofErr w:type="spellEnd"/>
            <w:r>
              <w:rPr>
                <w:sz w:val="20"/>
                <w:szCs w:val="20"/>
              </w:rPr>
              <w:t xml:space="preserve"> de consumo de recurso em nível de infraestrutura.</w:t>
            </w:r>
          </w:p>
        </w:tc>
      </w:tr>
    </w:tbl>
    <w:p w14:paraId="19310AD7" w14:textId="77777777" w:rsidR="0055073C" w:rsidRDefault="0055073C">
      <w:pPr>
        <w:spacing w:before="60" w:after="60"/>
      </w:pPr>
    </w:p>
    <w:p w14:paraId="0979941B" w14:textId="77777777" w:rsidR="0055073C" w:rsidRDefault="00000000">
      <w:pPr>
        <w:pStyle w:val="Ttulo1"/>
        <w:pBdr>
          <w:bottom w:val="single" w:sz="8" w:space="4" w:color="003087"/>
        </w:pBdr>
      </w:pPr>
      <w:r>
        <w:t>4. Como o Dashboard Apoia o Negócio</w:t>
      </w:r>
    </w:p>
    <w:p w14:paraId="1833738D" w14:textId="77777777" w:rsidR="0055073C" w:rsidRDefault="00000000">
      <w:pPr>
        <w:pStyle w:val="Ttulo2"/>
      </w:pPr>
      <w:r>
        <w:t>4.1 Suporte a Incidentes e Troubleshooting</w:t>
      </w:r>
    </w:p>
    <w:p w14:paraId="08E4B45A" w14:textId="77777777" w:rsidR="0055073C" w:rsidRDefault="00000000">
      <w:pPr>
        <w:spacing w:before="80" w:after="100"/>
      </w:pPr>
      <w:r>
        <w:t>Quando um evento de degradação ou indisponibilidade ocorre nos canais de Loterias Caixa, a equipe técnica utiliza o dashboard como linha do tempo de evidências. O painel permite:</w:t>
      </w:r>
    </w:p>
    <w:p w14:paraId="48E7A927" w14:textId="77777777" w:rsidR="0055073C" w:rsidRDefault="0055073C">
      <w:pPr>
        <w:spacing w:before="60" w:after="60"/>
      </w:pPr>
    </w:p>
    <w:p w14:paraId="7A510971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Correlacionar aumento de erros HTTP com picos de latência no </w:t>
      </w:r>
      <w:proofErr w:type="spellStart"/>
      <w:r>
        <w:t>Application</w:t>
      </w:r>
      <w:proofErr w:type="spellEnd"/>
      <w:r>
        <w:t xml:space="preserve"> Gateway.</w:t>
      </w:r>
    </w:p>
    <w:p w14:paraId="11E430CF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Identificar se a origem do problema está na camada de aplicação, banco de dados ou infraestrutura de containers.</w:t>
      </w:r>
    </w:p>
    <w:p w14:paraId="7A31394E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Verificar se o volume de requisições ao SILCE-APOSTADOR, SILCE-PARAMETROS ou SILCE-MEIO-PAGAMENTO apresentou anomalias antes da ocorrência.</w:t>
      </w:r>
    </w:p>
    <w:p w14:paraId="4D7069CF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Distinguir falhas transitórias de falhas estruturais com base em séries históricas.</w:t>
      </w:r>
    </w:p>
    <w:p w14:paraId="6C98096E" w14:textId="77777777" w:rsidR="0055073C" w:rsidRDefault="0055073C">
      <w:pPr>
        <w:spacing w:before="60" w:after="60"/>
      </w:pPr>
    </w:p>
    <w:p w14:paraId="1FAEBBFF" w14:textId="77777777" w:rsidR="0055073C" w:rsidRDefault="00000000">
      <w:pPr>
        <w:pStyle w:val="Ttulo2"/>
      </w:pPr>
      <w:r>
        <w:t>4.2 Apoio à Monitoria Operacional</w:t>
      </w:r>
    </w:p>
    <w:p w14:paraId="0D6EE2DB" w14:textId="77777777" w:rsidR="0055073C" w:rsidRDefault="00000000">
      <w:pPr>
        <w:spacing w:before="80" w:after="100"/>
      </w:pPr>
      <w:r>
        <w:t>A equipe realiza verificações periódicas do dashboard para identificar tendências de degradação antes que se tornem incidentes. Isso inclui:</w:t>
      </w:r>
    </w:p>
    <w:p w14:paraId="7201AE64" w14:textId="77777777" w:rsidR="0055073C" w:rsidRDefault="0055073C">
      <w:pPr>
        <w:spacing w:before="60" w:after="60"/>
      </w:pPr>
    </w:p>
    <w:p w14:paraId="458C336E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Observação do percentual de aprovação vs. rejeição nas operações de pagamento.</w:t>
      </w:r>
    </w:p>
    <w:p w14:paraId="2E9DDB9A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Acompanhamento do </w:t>
      </w:r>
      <w:proofErr w:type="spellStart"/>
      <w:r>
        <w:t>Healthy</w:t>
      </w:r>
      <w:proofErr w:type="spellEnd"/>
      <w:r>
        <w:t xml:space="preserve"> Host Count no </w:t>
      </w:r>
      <w:proofErr w:type="spellStart"/>
      <w:r>
        <w:t>Application</w:t>
      </w:r>
      <w:proofErr w:type="spellEnd"/>
      <w:r>
        <w:t xml:space="preserve"> Gateway para antecipar problemas de roteamento.</w:t>
      </w:r>
    </w:p>
    <w:p w14:paraId="78FE7836" w14:textId="77777777" w:rsidR="0055073C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do consumo de CPU e memória no AKS para dimensionamento adequado de recursos.</w:t>
      </w:r>
    </w:p>
    <w:p w14:paraId="5556A494" w14:textId="77777777" w:rsidR="0055073C" w:rsidRDefault="0055073C">
      <w:pPr>
        <w:spacing w:before="60" w:after="60"/>
      </w:pPr>
    </w:p>
    <w:p w14:paraId="77F4B06E" w14:textId="77777777" w:rsidR="0055073C" w:rsidRDefault="00000000">
      <w:pPr>
        <w:pStyle w:val="Ttulo2"/>
      </w:pPr>
      <w:r>
        <w:t>4.3 Base para Análise Pós-Incidente (RCA)</w:t>
      </w:r>
    </w:p>
    <w:p w14:paraId="01217708" w14:textId="77777777" w:rsidR="0055073C" w:rsidRDefault="00000000">
      <w:pPr>
        <w:spacing w:before="80" w:after="100"/>
      </w:pPr>
      <w:r>
        <w:t xml:space="preserve">Após a resolução de um incidente, o dashboard é utilizado para embasar a análise de causa raiz (Root Cause </w:t>
      </w:r>
      <w:proofErr w:type="spellStart"/>
      <w:r>
        <w:t>Analysis</w:t>
      </w:r>
      <w:proofErr w:type="spellEnd"/>
      <w:r>
        <w:t>). As séries temporais permitem reconstruir com precisão o comportamento dos sistemas no momento do evento, identificar o componente que originou a falha e documentar o impacto real no volume de operações.</w:t>
      </w:r>
    </w:p>
    <w:p w14:paraId="7BE0262D" w14:textId="77777777" w:rsidR="0055073C" w:rsidRDefault="0055073C">
      <w:pPr>
        <w:spacing w:before="60" w:after="60"/>
      </w:pPr>
    </w:p>
    <w:p w14:paraId="612575FF" w14:textId="77777777" w:rsidR="0055073C" w:rsidRDefault="00000000">
      <w:pPr>
        <w:pStyle w:val="Ttulo1"/>
        <w:pBdr>
          <w:bottom w:val="single" w:sz="8" w:space="4" w:color="003087"/>
        </w:pBdr>
      </w:pPr>
      <w:r>
        <w:lastRenderedPageBreak/>
        <w:t>5. Configurações Relevantes do Dashboard</w:t>
      </w:r>
    </w:p>
    <w:p w14:paraId="752CA15C" w14:textId="77777777" w:rsidR="0055073C" w:rsidRDefault="00000000">
      <w:pPr>
        <w:spacing w:before="80" w:after="100"/>
      </w:pPr>
      <w:r>
        <w:t>Para garantir que o dashboard entregue informações confiáveis e acionáveis, ele foi configurado com os seguintes parâmetros:</w:t>
      </w:r>
    </w:p>
    <w:p w14:paraId="4C372B93" w14:textId="77777777" w:rsidR="0055073C" w:rsidRDefault="0055073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5073C" w14:paraId="11B18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00308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F887B" w14:textId="77777777" w:rsidR="005507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  <w:tc>
          <w:tcPr>
            <w:tcW w:w="55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00308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3CDF8" w14:textId="77777777" w:rsidR="0055073C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55073C" w14:paraId="2777F6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FA31D" w14:textId="77777777" w:rsidR="0055073C" w:rsidRDefault="00000000">
            <w:r>
              <w:rPr>
                <w:b/>
                <w:bCs/>
                <w:sz w:val="20"/>
                <w:szCs w:val="20"/>
              </w:rPr>
              <w:t xml:space="preserve">Auto </w:t>
            </w:r>
            <w:proofErr w:type="spellStart"/>
            <w:r>
              <w:rPr>
                <w:b/>
                <w:bCs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55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17DE8" w14:textId="77777777" w:rsidR="0055073C" w:rsidRDefault="00000000">
            <w:r>
              <w:rPr>
                <w:sz w:val="20"/>
                <w:szCs w:val="20"/>
              </w:rPr>
              <w:t>A cada 1 hora</w:t>
            </w:r>
          </w:p>
        </w:tc>
      </w:tr>
      <w:tr w:rsidR="0055073C" w14:paraId="46F779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97F4A" w14:textId="77777777" w:rsidR="0055073C" w:rsidRDefault="00000000">
            <w:r>
              <w:rPr>
                <w:b/>
                <w:bCs/>
                <w:sz w:val="20"/>
                <w:szCs w:val="20"/>
              </w:rPr>
              <w:t>Janela de tempo padrão</w:t>
            </w:r>
          </w:p>
        </w:tc>
        <w:tc>
          <w:tcPr>
            <w:tcW w:w="55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52209" w14:textId="77777777" w:rsidR="0055073C" w:rsidRDefault="00000000">
            <w:r>
              <w:rPr>
                <w:sz w:val="20"/>
                <w:szCs w:val="20"/>
              </w:rPr>
              <w:t>Últimos 30 minutos (ajustável conforme necessidade da análise)</w:t>
            </w:r>
          </w:p>
        </w:tc>
      </w:tr>
      <w:tr w:rsidR="0055073C" w14:paraId="500987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09F3F" w14:textId="77777777" w:rsidR="0055073C" w:rsidRDefault="00000000">
            <w:r>
              <w:rPr>
                <w:b/>
                <w:bCs/>
                <w:sz w:val="20"/>
                <w:szCs w:val="20"/>
              </w:rPr>
              <w:t>Escopo</w:t>
            </w:r>
          </w:p>
        </w:tc>
        <w:tc>
          <w:tcPr>
            <w:tcW w:w="55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FCF2" w14:textId="77777777" w:rsidR="0055073C" w:rsidRDefault="00000000">
            <w:r>
              <w:rPr>
                <w:sz w:val="20"/>
                <w:szCs w:val="20"/>
              </w:rPr>
              <w:t>Ambiente de Produção (PRD) exclusivamente</w:t>
            </w:r>
          </w:p>
        </w:tc>
      </w:tr>
      <w:tr w:rsidR="0055073C" w14:paraId="78A2E6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4FE68" w14:textId="77777777" w:rsidR="0055073C" w:rsidRDefault="00000000">
            <w:r>
              <w:rPr>
                <w:b/>
                <w:bCs/>
                <w:sz w:val="20"/>
                <w:szCs w:val="20"/>
              </w:rPr>
              <w:t>Tipo de dashboard</w:t>
            </w:r>
          </w:p>
        </w:tc>
        <w:tc>
          <w:tcPr>
            <w:tcW w:w="55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0A2D1" w14:textId="77777777" w:rsidR="0055073C" w:rsidRDefault="00000000"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Dashboard — acessível a todos os membros autorizados da equipe</w:t>
            </w:r>
          </w:p>
        </w:tc>
      </w:tr>
      <w:tr w:rsidR="0055073C" w14:paraId="2F9864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0B729" w14:textId="77777777" w:rsidR="0055073C" w:rsidRDefault="00000000">
            <w:r>
              <w:rPr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5526" w:type="dxa"/>
            <w:tcBorders>
              <w:top w:val="single" w:sz="1" w:space="0" w:color="C9D5EA"/>
              <w:left w:val="single" w:sz="1" w:space="0" w:color="C9D5EA"/>
              <w:bottom w:val="single" w:sz="1" w:space="0" w:color="C9D5EA"/>
              <w:right w:val="single" w:sz="1" w:space="0" w:color="C9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F5CD0" w14:textId="77777777" w:rsidR="0055073C" w:rsidRDefault="00000000">
            <w:r>
              <w:rPr>
                <w:sz w:val="20"/>
                <w:szCs w:val="20"/>
              </w:rPr>
              <w:t xml:space="preserve">Microsoft Azure Portal — integrado ao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Insights, Azure Monitor e métricas nativas dos recursos</w:t>
            </w:r>
          </w:p>
        </w:tc>
      </w:tr>
    </w:tbl>
    <w:p w14:paraId="155DD080" w14:textId="77777777" w:rsidR="0055073C" w:rsidRDefault="0055073C">
      <w:pPr>
        <w:spacing w:before="60" w:after="60"/>
      </w:pPr>
    </w:p>
    <w:p w14:paraId="4B147054" w14:textId="2AA35218" w:rsidR="0055073C" w:rsidRDefault="001B548C">
      <w:pPr>
        <w:pStyle w:val="Ttulo1"/>
        <w:pBdr>
          <w:bottom w:val="single" w:sz="8" w:space="4" w:color="003087"/>
        </w:pBdr>
      </w:pPr>
      <w:r>
        <w:t>6</w:t>
      </w:r>
      <w:r w:rsidR="00000000">
        <w:t>. Conclusão</w:t>
      </w:r>
    </w:p>
    <w:p w14:paraId="271DE106" w14:textId="1882FD07" w:rsidR="0055073C" w:rsidRDefault="00000000">
      <w:pPr>
        <w:spacing w:before="80" w:after="100"/>
      </w:pPr>
      <w:r>
        <w:t>O Dashboard SILCE PRD Monitoria representa um ativo operacional estratégico para a equipe responsável pelos serviços de Loterias Caixa no Azure. Sua função como ferramenta de monitoria e suporte a troubleshooting é essencial para garantir a qualidade do atendimento aos canais digitais, reduzir o impacto de incidentes e embasar decisões técnicas e gerenciais com dados confiáveis e rastreáveis.</w:t>
      </w:r>
    </w:p>
    <w:p w14:paraId="4FE1399F" w14:textId="77777777" w:rsidR="001B548C" w:rsidRDefault="001B548C">
      <w:pPr>
        <w:spacing w:before="80" w:after="100"/>
      </w:pPr>
    </w:p>
    <w:p w14:paraId="641AB447" w14:textId="6138C42F" w:rsidR="001B548C" w:rsidRDefault="001B548C" w:rsidP="001B548C">
      <w:pPr>
        <w:pStyle w:val="Ttulo1"/>
        <w:pBdr>
          <w:bottom w:val="single" w:sz="8" w:space="4" w:color="003087"/>
        </w:pBdr>
      </w:pPr>
      <w:r>
        <w:t>7</w:t>
      </w:r>
      <w:r>
        <w:t xml:space="preserve">. </w:t>
      </w:r>
      <w:r>
        <w:t>Links de Referência</w:t>
      </w:r>
    </w:p>
    <w:p w14:paraId="6F713B38" w14:textId="77777777" w:rsidR="001B548C" w:rsidRPr="001B548C" w:rsidRDefault="001B548C">
      <w:pPr>
        <w:spacing w:before="80" w:after="100"/>
        <w:rPr>
          <w:b/>
          <w:bCs/>
        </w:rPr>
      </w:pPr>
    </w:p>
    <w:p w14:paraId="2F321B04" w14:textId="77777777" w:rsidR="001B548C" w:rsidRDefault="001B548C">
      <w:pPr>
        <w:spacing w:before="80" w:after="100"/>
      </w:pPr>
    </w:p>
    <w:sectPr w:rsidR="001B548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50060" w14:textId="77777777" w:rsidR="002C5FA8" w:rsidRDefault="002C5FA8">
      <w:r>
        <w:separator/>
      </w:r>
    </w:p>
  </w:endnote>
  <w:endnote w:type="continuationSeparator" w:id="0">
    <w:p w14:paraId="0FC04253" w14:textId="77777777" w:rsidR="002C5FA8" w:rsidRDefault="002C5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9562" w14:textId="51250891" w:rsidR="0055073C" w:rsidRDefault="00000000">
    <w:pPr>
      <w:pBdr>
        <w:top w:val="single" w:sz="4" w:space="4" w:color="003087"/>
      </w:pBdr>
      <w:jc w:val="right"/>
    </w:pPr>
    <w:r>
      <w:rPr>
        <w:color w:val="888888"/>
        <w:sz w:val="18"/>
        <w:szCs w:val="18"/>
      </w:rPr>
      <w:t>Monitoria</w:t>
    </w:r>
    <w:r w:rsidR="001B548C">
      <w:rPr>
        <w:color w:val="888888"/>
        <w:sz w:val="18"/>
        <w:szCs w:val="18"/>
      </w:rPr>
      <w:t xml:space="preserve"> </w:t>
    </w:r>
    <w:proofErr w:type="gramStart"/>
    <w:r w:rsidR="001B548C">
      <w:rPr>
        <w:color w:val="888888"/>
        <w:sz w:val="18"/>
        <w:szCs w:val="18"/>
      </w:rPr>
      <w:t>Loterias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Caixa Econômica </w:t>
    </w:r>
    <w:proofErr w:type="gramStart"/>
    <w:r>
      <w:rPr>
        <w:color w:val="888888"/>
        <w:sz w:val="18"/>
        <w:szCs w:val="18"/>
      </w:rPr>
      <w:t>Federal  |</w:t>
    </w:r>
    <w:proofErr w:type="gramEnd"/>
    <w:r>
      <w:rPr>
        <w:color w:val="888888"/>
        <w:sz w:val="18"/>
        <w:szCs w:val="18"/>
      </w:rPr>
      <w:t xml:space="preserve">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380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56755" w14:textId="77777777" w:rsidR="002C5FA8" w:rsidRDefault="002C5FA8">
      <w:r>
        <w:separator/>
      </w:r>
    </w:p>
  </w:footnote>
  <w:footnote w:type="continuationSeparator" w:id="0">
    <w:p w14:paraId="167E7AE3" w14:textId="77777777" w:rsidR="002C5FA8" w:rsidRDefault="002C5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44F81"/>
    <w:multiLevelType w:val="hybridMultilevel"/>
    <w:tmpl w:val="A18AC682"/>
    <w:lvl w:ilvl="0" w:tplc="12720AE8">
      <w:start w:val="1"/>
      <w:numFmt w:val="bullet"/>
      <w:lvlText w:val="•"/>
      <w:lvlJc w:val="left"/>
      <w:pPr>
        <w:ind w:left="720" w:hanging="360"/>
      </w:pPr>
    </w:lvl>
    <w:lvl w:ilvl="1" w:tplc="AF3C25C6">
      <w:numFmt w:val="decimal"/>
      <w:lvlText w:val=""/>
      <w:lvlJc w:val="left"/>
    </w:lvl>
    <w:lvl w:ilvl="2" w:tplc="8EA015A2">
      <w:numFmt w:val="decimal"/>
      <w:lvlText w:val=""/>
      <w:lvlJc w:val="left"/>
    </w:lvl>
    <w:lvl w:ilvl="3" w:tplc="5C083110">
      <w:numFmt w:val="decimal"/>
      <w:lvlText w:val=""/>
      <w:lvlJc w:val="left"/>
    </w:lvl>
    <w:lvl w:ilvl="4" w:tplc="883AAF7E">
      <w:numFmt w:val="decimal"/>
      <w:lvlText w:val=""/>
      <w:lvlJc w:val="left"/>
    </w:lvl>
    <w:lvl w:ilvl="5" w:tplc="FA06641E">
      <w:numFmt w:val="decimal"/>
      <w:lvlText w:val=""/>
      <w:lvlJc w:val="left"/>
    </w:lvl>
    <w:lvl w:ilvl="6" w:tplc="57E68DC4">
      <w:numFmt w:val="decimal"/>
      <w:lvlText w:val=""/>
      <w:lvlJc w:val="left"/>
    </w:lvl>
    <w:lvl w:ilvl="7" w:tplc="199A69BE">
      <w:numFmt w:val="decimal"/>
      <w:lvlText w:val=""/>
      <w:lvlJc w:val="left"/>
    </w:lvl>
    <w:lvl w:ilvl="8" w:tplc="0C14BEBE">
      <w:numFmt w:val="decimal"/>
      <w:lvlText w:val=""/>
      <w:lvlJc w:val="left"/>
    </w:lvl>
  </w:abstractNum>
  <w:abstractNum w:abstractNumId="1" w15:restartNumberingAfterBreak="0">
    <w:nsid w:val="6ACA044E"/>
    <w:multiLevelType w:val="hybridMultilevel"/>
    <w:tmpl w:val="705CF51A"/>
    <w:lvl w:ilvl="0" w:tplc="AB126CB4">
      <w:start w:val="1"/>
      <w:numFmt w:val="bullet"/>
      <w:lvlText w:val="●"/>
      <w:lvlJc w:val="left"/>
      <w:pPr>
        <w:ind w:left="720" w:hanging="360"/>
      </w:pPr>
    </w:lvl>
    <w:lvl w:ilvl="1" w:tplc="A5925B10">
      <w:start w:val="1"/>
      <w:numFmt w:val="bullet"/>
      <w:lvlText w:val="○"/>
      <w:lvlJc w:val="left"/>
      <w:pPr>
        <w:ind w:left="1440" w:hanging="360"/>
      </w:pPr>
    </w:lvl>
    <w:lvl w:ilvl="2" w:tplc="D6E464AE">
      <w:start w:val="1"/>
      <w:numFmt w:val="bullet"/>
      <w:lvlText w:val="■"/>
      <w:lvlJc w:val="left"/>
      <w:pPr>
        <w:ind w:left="2160" w:hanging="360"/>
      </w:pPr>
    </w:lvl>
    <w:lvl w:ilvl="3" w:tplc="ED2C7758">
      <w:start w:val="1"/>
      <w:numFmt w:val="bullet"/>
      <w:lvlText w:val="●"/>
      <w:lvlJc w:val="left"/>
      <w:pPr>
        <w:ind w:left="2880" w:hanging="360"/>
      </w:pPr>
    </w:lvl>
    <w:lvl w:ilvl="4" w:tplc="C6EE2574">
      <w:start w:val="1"/>
      <w:numFmt w:val="bullet"/>
      <w:lvlText w:val="○"/>
      <w:lvlJc w:val="left"/>
      <w:pPr>
        <w:ind w:left="3600" w:hanging="360"/>
      </w:pPr>
    </w:lvl>
    <w:lvl w:ilvl="5" w:tplc="2E70F862">
      <w:start w:val="1"/>
      <w:numFmt w:val="bullet"/>
      <w:lvlText w:val="■"/>
      <w:lvlJc w:val="left"/>
      <w:pPr>
        <w:ind w:left="4320" w:hanging="360"/>
      </w:pPr>
    </w:lvl>
    <w:lvl w:ilvl="6" w:tplc="677466C6">
      <w:start w:val="1"/>
      <w:numFmt w:val="bullet"/>
      <w:lvlText w:val="●"/>
      <w:lvlJc w:val="left"/>
      <w:pPr>
        <w:ind w:left="5040" w:hanging="360"/>
      </w:pPr>
    </w:lvl>
    <w:lvl w:ilvl="7" w:tplc="2D84A78E">
      <w:start w:val="1"/>
      <w:numFmt w:val="bullet"/>
      <w:lvlText w:val="●"/>
      <w:lvlJc w:val="left"/>
      <w:pPr>
        <w:ind w:left="5760" w:hanging="360"/>
      </w:pPr>
    </w:lvl>
    <w:lvl w:ilvl="8" w:tplc="696A9D94">
      <w:start w:val="1"/>
      <w:numFmt w:val="bullet"/>
      <w:lvlText w:val="●"/>
      <w:lvlJc w:val="left"/>
      <w:pPr>
        <w:ind w:left="6480" w:hanging="360"/>
      </w:pPr>
    </w:lvl>
  </w:abstractNum>
  <w:num w:numId="1" w16cid:durableId="1667128335">
    <w:abstractNumId w:val="1"/>
    <w:lvlOverride w:ilvl="0">
      <w:startOverride w:val="1"/>
    </w:lvlOverride>
  </w:num>
  <w:num w:numId="2" w16cid:durableId="430051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C"/>
    <w:rsid w:val="001B548C"/>
    <w:rsid w:val="002C5309"/>
    <w:rsid w:val="002C5FA8"/>
    <w:rsid w:val="0055073C"/>
    <w:rsid w:val="00A9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999CBC"/>
  <w15:docId w15:val="{A3A02157-0050-FE4E-B6FD-9C4AF1BF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03087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70C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B54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548C"/>
  </w:style>
  <w:style w:type="paragraph" w:styleId="Rodap">
    <w:name w:val="footer"/>
    <w:basedOn w:val="Normal"/>
    <w:link w:val="RodapChar"/>
    <w:uiPriority w:val="99"/>
    <w:unhideWhenUsed/>
    <w:rsid w:val="001B548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799</Words>
  <Characters>4684</Characters>
  <Application>Microsoft Office Word</Application>
  <DocSecurity>0</DocSecurity>
  <Lines>146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Americano</cp:lastModifiedBy>
  <cp:revision>2</cp:revision>
  <dcterms:created xsi:type="dcterms:W3CDTF">2026-05-18T12:23:00Z</dcterms:created>
  <dcterms:modified xsi:type="dcterms:W3CDTF">2026-05-18T12:54:00Z</dcterms:modified>
</cp:coreProperties>
</file>