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1 - Baseline and diabetes characteristics - summary - full analysis set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"/>
        <w:gridCol w:w="2880"/>
        <w:gridCol w:w="288"/>
        <w:gridCol w:w="1440"/>
        <w:gridCol w:w="288"/>
        <w:gridCol w:w="1440"/>
        <w:gridCol w:w="288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Subjects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(yrs)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60.0 (8.5)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59.3 (9.7)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59.6 (9.1)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;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; 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; 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; 83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(m)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 (0.1)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;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 ; 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 ; 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 ; 1.93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Body Weight (kg)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89.0 (16.2)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 (17.5)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89.3 (16.8)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;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54.9 ; 147.4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53.5 ; 139.3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53.5 ; 147.4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Duration of Diabetes (yrs)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 (6.6)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 (6.4)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;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; 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; 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; 36.0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HbA1c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 (0.7)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 (0.7)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;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 ; 9.6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 ; 10.6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 ; 10.6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N: Number of subjects, SD: Standard Deviation, Min: Minimum,</w:t>
              <w:br/>
              <w:t xml:space="preserve">        Max: Maximum, yrs: Years, m: Meter, kg: Kilogram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2022-02-13T12:30:45Z</dcterms:modified>
  <cp:category/>
</cp:coreProperties>
</file>