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4C64" w14:textId="7E2A751F" w:rsidR="00C46B48" w:rsidRPr="006F650A" w:rsidRDefault="00532930" w:rsidP="001B373B">
      <w:pPr>
        <w:jc w:val="both"/>
        <w:rPr>
          <w:b/>
          <w:bCs/>
        </w:rPr>
      </w:pPr>
      <w:r w:rsidRPr="006F650A">
        <w:rPr>
          <w:b/>
          <w:bCs/>
        </w:rPr>
        <w:t xml:space="preserve">Volatility </w:t>
      </w:r>
      <w:r w:rsidR="004853BB" w:rsidRPr="006F650A">
        <w:rPr>
          <w:b/>
          <w:bCs/>
        </w:rPr>
        <w:t>Margin components</w:t>
      </w:r>
      <w:r w:rsidRPr="006F650A">
        <w:rPr>
          <w:b/>
          <w:bCs/>
        </w:rPr>
        <w:t>:</w:t>
      </w:r>
    </w:p>
    <w:p w14:paraId="4BA48752" w14:textId="5994A51A" w:rsidR="006F650A" w:rsidRDefault="006F650A" w:rsidP="001B373B">
      <w:pPr>
        <w:jc w:val="both"/>
      </w:pPr>
      <w:r>
        <w:t>A methodology for calculating a volatility margin that reflects changing market conditions is outlined below. In summary, it captures three components,</w:t>
      </w:r>
      <w:r w:rsidR="0042537F">
        <w:t xml:space="preserve"> current price volatility, tail risk and shifting volatility regimes</w:t>
      </w:r>
      <w:r w:rsidR="00293258">
        <w:t>.</w:t>
      </w:r>
      <w:r w:rsidR="00522536">
        <w:t xml:space="preserve"> </w:t>
      </w:r>
      <w:r w:rsidR="000C2B04">
        <w:t>So,</w:t>
      </w:r>
      <w:r w:rsidR="00BA62DD">
        <w:t xml:space="preserve"> the overall margin is given by:</w:t>
      </w:r>
    </w:p>
    <w:p w14:paraId="341E7F59" w14:textId="2F442098" w:rsidR="00BA62DD" w:rsidRPr="00BA62DD" w:rsidRDefault="00BA62DD" w:rsidP="001B373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(3)</m:t>
              </m:r>
            </m:sup>
          </m:sSup>
        </m:oMath>
      </m:oMathPara>
    </w:p>
    <w:p w14:paraId="418B736E" w14:textId="218C1BC4" w:rsidR="00BA62DD" w:rsidRDefault="00BA62DD" w:rsidP="001B373B">
      <w:pPr>
        <w:jc w:val="both"/>
      </w:pPr>
      <w:r>
        <w:rPr>
          <w:rFonts w:eastAsiaTheme="minorEastAsia"/>
        </w:rPr>
        <w:t>With each component</w:t>
      </w:r>
      <w:r w:rsidR="000C2B04">
        <w:rPr>
          <w:rFonts w:eastAsiaTheme="minorEastAsia"/>
        </w:rPr>
        <w:t xml:space="preserve"> described below</w:t>
      </w:r>
      <w:r w:rsidR="00083A60">
        <w:rPr>
          <w:rFonts w:eastAsiaTheme="minorEastAsia"/>
        </w:rPr>
        <w:t>.</w:t>
      </w:r>
    </w:p>
    <w:p w14:paraId="426BCD03" w14:textId="76716A88" w:rsidR="004853BB" w:rsidRPr="007C7F39" w:rsidRDefault="004853BB" w:rsidP="001B373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853BB">
        <w:rPr>
          <w:b/>
          <w:bCs/>
        </w:rPr>
        <w:t>Instantaneous Price Volatility</w:t>
      </w:r>
      <w:r>
        <w:rPr>
          <w:b/>
          <w:bCs/>
        </w:rPr>
        <w:t xml:space="preserve">: </w:t>
      </w:r>
      <w:r w:rsidR="004B2D83">
        <w:t>captures intraday noise, micro-volatility and short-term uncertainty.</w:t>
      </w:r>
      <w:r w:rsidR="00E65A04">
        <w:t xml:space="preserve"> </w:t>
      </w:r>
      <w:r w:rsidR="00493698">
        <w:t>The below m</w:t>
      </w:r>
      <w:r w:rsidR="00CA5793">
        <w:t>ethod balanc</w:t>
      </w:r>
      <w:r w:rsidR="00493698">
        <w:t>es</w:t>
      </w:r>
      <w:r w:rsidR="00CA5793">
        <w:t xml:space="preserve"> historic and </w:t>
      </w:r>
      <w:r w:rsidR="004926CA">
        <w:t>forecasted volatility</w:t>
      </w:r>
      <w:r w:rsidR="007C7F39">
        <w:t>.</w:t>
      </w:r>
    </w:p>
    <w:p w14:paraId="38AF319B" w14:textId="560D477A" w:rsidR="007C7F39" w:rsidRPr="00CD4A83" w:rsidRDefault="00653F32" w:rsidP="001B373B">
      <w:pPr>
        <w:pStyle w:val="ListParagraph"/>
        <w:numPr>
          <w:ilvl w:val="1"/>
          <w:numId w:val="2"/>
        </w:numPr>
        <w:jc w:val="both"/>
      </w:pPr>
      <w:r>
        <w:t xml:space="preserve">Historic price volatility can be captured by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>
        <w:rPr>
          <w:rFonts w:eastAsiaTheme="minorEastAsia"/>
        </w:rPr>
        <w:t xml:space="preserve"> formula given below</w:t>
      </w:r>
      <w:r w:rsidR="000F4E69">
        <w:rPr>
          <w:rFonts w:eastAsiaTheme="minorEastAsia"/>
        </w:rPr>
        <w:t xml:space="preserve">. Note the adjustment for exposure horizon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="0097385D">
        <w:rPr>
          <w:rFonts w:eastAsiaTheme="minorEastAsia"/>
        </w:rPr>
        <w:t xml:space="preserve"> to generate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6D47FA">
        <w:rPr>
          <w:rFonts w:eastAsiaTheme="minorEastAsia"/>
        </w:rPr>
        <w:t>.</w:t>
      </w:r>
    </w:p>
    <w:p w14:paraId="75704D1E" w14:textId="25D167E1" w:rsidR="00CD4A83" w:rsidRPr="000F3172" w:rsidRDefault="00CD4A83" w:rsidP="001B373B">
      <w:pPr>
        <w:pStyle w:val="ListParagraph"/>
        <w:numPr>
          <w:ilvl w:val="1"/>
          <w:numId w:val="2"/>
        </w:numPr>
        <w:jc w:val="both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represents the exposure horizon; the length of time </w:t>
      </w:r>
      <w:r w:rsidR="00723DDA">
        <w:rPr>
          <w:rFonts w:eastAsiaTheme="minorEastAsia"/>
        </w:rPr>
        <w:t xml:space="preserve">which a position is exposed to FX price risk before it is neutralised </w:t>
      </w:r>
      <w:r w:rsidR="00262F55">
        <w:rPr>
          <w:rFonts w:eastAsiaTheme="minorEastAsia"/>
        </w:rPr>
        <w:t>(through hedging)</w:t>
      </w:r>
      <w:r w:rsidR="00C06414">
        <w:rPr>
          <w:rFonts w:eastAsiaTheme="minorEastAsia"/>
        </w:rPr>
        <w:t>. It essentially scales the margin to be the correct order of magnitude.</w:t>
      </w:r>
    </w:p>
    <w:p w14:paraId="5D2CA77E" w14:textId="2CCD4080" w:rsidR="00C25631" w:rsidRDefault="00BA067D" w:rsidP="001B373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537EFF18" w14:textId="6FF56C15" w:rsidR="00532930" w:rsidRPr="00EE3503" w:rsidRDefault="004A2DAE" w:rsidP="001B373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t, 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⇒</m:t>
              </m:r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RV</m:t>
              </m:r>
            </m:e>
          </m:rad>
        </m:oMath>
      </m:oMathPara>
    </w:p>
    <w:p w14:paraId="51575943" w14:textId="41B46FE6" w:rsidR="00EE3503" w:rsidRPr="007A3F9B" w:rsidRDefault="00BA067D" w:rsidP="001B373B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ID</m:t>
              </m:r>
            </m:sub>
          </m:sSub>
          <m:r>
            <w:rPr>
              <w:rFonts w:ascii="Cambria Math" w:hAnsi="Cambria Math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e>
          </m:rad>
        </m:oMath>
      </m:oMathPara>
    </w:p>
    <w:p w14:paraId="20723A10" w14:textId="77777777" w:rsidR="007A3F9B" w:rsidRPr="001A2657" w:rsidRDefault="007A3F9B" w:rsidP="001B373B">
      <w:pPr>
        <w:pStyle w:val="ListParagraph"/>
        <w:numPr>
          <w:ilvl w:val="1"/>
          <w:numId w:val="2"/>
        </w:numPr>
        <w:jc w:val="both"/>
      </w:pPr>
      <w:r>
        <w:rPr>
          <w:rFonts w:eastAsiaTheme="minorEastAsia"/>
        </w:rPr>
        <w:t>There are several methods to forecast volatility including: EWMA, HAR</w:t>
      </w:r>
    </w:p>
    <w:p w14:paraId="71E8C541" w14:textId="36E1C29C" w:rsidR="001A2657" w:rsidRPr="00117D0F" w:rsidRDefault="001A2657" w:rsidP="001B373B">
      <w:pPr>
        <w:pStyle w:val="ListParagraph"/>
        <w:numPr>
          <w:ilvl w:val="2"/>
          <w:numId w:val="2"/>
        </w:numPr>
        <w:jc w:val="both"/>
      </w:pPr>
      <w:r>
        <w:rPr>
          <w:rFonts w:eastAsiaTheme="minorEastAsia"/>
        </w:rPr>
        <w:t>E</w:t>
      </w:r>
      <w:r w:rsidR="00316A66">
        <w:rPr>
          <w:rFonts w:eastAsiaTheme="minorEastAsia"/>
        </w:rPr>
        <w:t xml:space="preserve">xponential </w:t>
      </w:r>
      <w:r>
        <w:rPr>
          <w:rFonts w:eastAsiaTheme="minorEastAsia"/>
        </w:rPr>
        <w:t>W</w:t>
      </w:r>
      <w:r w:rsidR="000C5983">
        <w:rPr>
          <w:rFonts w:eastAsiaTheme="minorEastAsia"/>
        </w:rPr>
        <w:t xml:space="preserve">eighted </w:t>
      </w:r>
      <w:r>
        <w:rPr>
          <w:rFonts w:eastAsiaTheme="minorEastAsia"/>
        </w:rPr>
        <w:t>M</w:t>
      </w:r>
      <w:r w:rsidR="000C5983">
        <w:rPr>
          <w:rFonts w:eastAsiaTheme="minorEastAsia"/>
        </w:rPr>
        <w:t xml:space="preserve">oving </w:t>
      </w:r>
      <w:r>
        <w:rPr>
          <w:rFonts w:eastAsiaTheme="minorEastAsia"/>
        </w:rPr>
        <w:t>A</w:t>
      </w:r>
      <w:r w:rsidR="000C5983">
        <w:rPr>
          <w:rFonts w:eastAsiaTheme="minorEastAsia"/>
        </w:rPr>
        <w:t>verage</w:t>
      </w:r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decay between 0.97 and 0.99</w:t>
      </w:r>
      <w:r w:rsidR="000C5983">
        <w:rPr>
          <w:rFonts w:eastAsiaTheme="minorEastAsia"/>
        </w:rPr>
        <w:t>. intuitively, recent returns will contain more information than distant</w:t>
      </w:r>
      <w:r w:rsidR="00703B25">
        <w:rPr>
          <w:rFonts w:eastAsiaTheme="minorEastAsia"/>
        </w:rPr>
        <w:t xml:space="preserve"> returns, </w:t>
      </w:r>
      <w:r w:rsidR="00577F4C">
        <w:rPr>
          <w:rFonts w:eastAsiaTheme="minorEastAsia"/>
        </w:rPr>
        <w:t xml:space="preserve">and implicitly imbeds volatility clustering and </w:t>
      </w:r>
      <w:r w:rsidR="00215AF8">
        <w:rPr>
          <w:rFonts w:eastAsiaTheme="minorEastAsia"/>
        </w:rPr>
        <w:t>persistence, but cannot capture volatility mean reversion.</w:t>
      </w:r>
      <w:r w:rsidR="00690A0C">
        <w:rPr>
          <w:rFonts w:eastAsiaTheme="minorEastAsia"/>
        </w:rPr>
        <w:t xml:space="preserve"> Note that EWMA is mathematically identical to the </w:t>
      </w:r>
      <w:proofErr w:type="gramStart"/>
      <w:r w:rsidR="00690A0C">
        <w:rPr>
          <w:rFonts w:eastAsiaTheme="minorEastAsia"/>
        </w:rPr>
        <w:t>IGARCH(</w:t>
      </w:r>
      <w:proofErr w:type="gramEnd"/>
      <w:r w:rsidR="00690A0C">
        <w:rPr>
          <w:rFonts w:eastAsiaTheme="minorEastAsia"/>
        </w:rPr>
        <w:t>1,1) model</w:t>
      </w:r>
      <w:r w:rsidR="00FC7221">
        <w:rPr>
          <w:rFonts w:eastAsiaTheme="minorEastAsia"/>
        </w:rPr>
        <w:t>.</w:t>
      </w:r>
    </w:p>
    <w:p w14:paraId="7DA5D1BD" w14:textId="747D7157" w:rsidR="0070506F" w:rsidRPr="002D22DB" w:rsidRDefault="00BA067D" w:rsidP="001B373B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λ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F0DB2AD" w14:textId="05C27CDF" w:rsidR="00117D0F" w:rsidRDefault="0070506F" w:rsidP="001B373B">
      <w:pPr>
        <w:pStyle w:val="ListParagraph"/>
        <w:numPr>
          <w:ilvl w:val="2"/>
          <w:numId w:val="2"/>
        </w:numPr>
        <w:jc w:val="both"/>
      </w:pPr>
      <w:r>
        <w:t>HAR</w:t>
      </w:r>
      <w:r w:rsidR="009A2AD1">
        <w:t>:</w:t>
      </w:r>
      <w:r w:rsidR="001138C0">
        <w:t xml:space="preserve"> could consider introducing Lasso</w:t>
      </w:r>
      <w:r w:rsidR="00930623">
        <w:t xml:space="preserve"> (or Elastic Net) </w:t>
      </w:r>
      <w:r w:rsidR="001138C0">
        <w:t>restrictions</w:t>
      </w:r>
      <w:r w:rsidR="00930623">
        <w:t xml:space="preserve"> depending on data availability</w:t>
      </w:r>
      <w:r w:rsidR="00143127">
        <w:t xml:space="preserve"> (</w:t>
      </w:r>
      <w:r w:rsidR="00DF6E29">
        <w:t>to help with variable selection</w:t>
      </w:r>
      <w:r w:rsidR="00143127">
        <w:t>)</w:t>
      </w:r>
      <w:r w:rsidR="00930623">
        <w:t>.</w:t>
      </w:r>
      <w:r w:rsidR="00DD165B">
        <w:t xml:space="preserve"> HAR will typically outperform EWMA</w:t>
      </w:r>
      <w:r w:rsidR="00965644">
        <w:t xml:space="preserve"> for more medium-term horizons. Best to compare the forecast accuracy of both for each currency.</w:t>
      </w:r>
      <w:r w:rsidR="00FA55CA">
        <w:t xml:space="preserve"> (S), (M), and (L) refer to short, medium and long horizon volatility</w:t>
      </w:r>
      <w:r w:rsidR="00CB7373">
        <w:t xml:space="preserve"> for example 15 mins, 1 hour and 1 day.</w:t>
      </w:r>
      <w:r w:rsidR="005739CE">
        <w:t xml:space="preserve"> More flexible as it allows for the introduction of corridor specific effects, liquidity proxies etc.</w:t>
      </w:r>
    </w:p>
    <w:p w14:paraId="623BE6C4" w14:textId="43BDA390" w:rsidR="009D1788" w:rsidRDefault="0099643E" w:rsidP="001B373B">
      <w:pPr>
        <w:jc w:val="both"/>
      </w:pPr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(S)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(M)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R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(L)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</m:oMath>
      </m:oMathPara>
    </w:p>
    <w:p w14:paraId="592A35ED" w14:textId="4D0720A3" w:rsidR="007A3F9B" w:rsidRPr="009B4B69" w:rsidRDefault="007A3F9B" w:rsidP="001B373B">
      <w:pPr>
        <w:pStyle w:val="ListParagraph"/>
        <w:numPr>
          <w:ilvl w:val="1"/>
          <w:numId w:val="2"/>
        </w:numPr>
        <w:jc w:val="both"/>
      </w:pPr>
      <w:r>
        <w:rPr>
          <w:rFonts w:eastAsiaTheme="minorEastAsia"/>
        </w:rPr>
        <w:t>We can combine the backward- and forward-looking components using a weighted average (weighting</w:t>
      </w:r>
      <w:r w:rsidR="009B4B6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can be discretionary</w:t>
      </w:r>
      <w:r w:rsidR="009B4B69">
        <w:rPr>
          <w:rFonts w:eastAsiaTheme="minorEastAsia"/>
        </w:rPr>
        <w:t>, but between 0.3 to 0.5</w:t>
      </w:r>
      <w:r>
        <w:rPr>
          <w:rFonts w:eastAsiaTheme="minorEastAsia"/>
        </w:rPr>
        <w:t>)</w:t>
      </w:r>
    </w:p>
    <w:p w14:paraId="0AF2F9F5" w14:textId="74967AFC" w:rsidR="009B4B69" w:rsidRPr="00277A0F" w:rsidRDefault="00BA067D" w:rsidP="001B373B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ID</m:t>
              </m:r>
            </m:sub>
            <m:sup>
              <m:r>
                <w:rPr>
                  <w:rFonts w:ascii="Cambria Math" w:hAnsi="Cambria Math"/>
                </w:rPr>
                <m:t>eff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forecast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istoric</m:t>
              </m:r>
            </m:sub>
          </m:sSub>
        </m:oMath>
      </m:oMathPara>
    </w:p>
    <w:p w14:paraId="1248B736" w14:textId="29F195C2" w:rsidR="00277A0F" w:rsidRDefault="00E51F4A" w:rsidP="001B373B">
      <w:pPr>
        <w:pStyle w:val="ListParagraph"/>
        <w:numPr>
          <w:ilvl w:val="1"/>
          <w:numId w:val="2"/>
        </w:numPr>
        <w:jc w:val="both"/>
      </w:pPr>
      <w:r>
        <w:t>So,</w:t>
      </w:r>
      <w:r w:rsidR="00277A0F">
        <w:t xml:space="preserve"> the margin component will be:</w:t>
      </w:r>
    </w:p>
    <w:p w14:paraId="19BF5BC5" w14:textId="352707A7" w:rsidR="00277A0F" w:rsidRPr="005C605D" w:rsidRDefault="00BA067D" w:rsidP="001B373B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(1)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ID</m:t>
              </m:r>
            </m:sub>
            <m:sup>
              <m:r>
                <w:rPr>
                  <w:rFonts w:ascii="Cambria Math" w:hAnsi="Cambria Math"/>
                </w:rPr>
                <m:t>eff</m:t>
              </m:r>
            </m:sup>
          </m:sSubSup>
        </m:oMath>
      </m:oMathPara>
    </w:p>
    <w:p w14:paraId="16A853FD" w14:textId="3E7406E4" w:rsidR="005C605D" w:rsidRDefault="005C605D" w:rsidP="005C605D">
      <w:pPr>
        <w:pStyle w:val="ListParagraph"/>
        <w:numPr>
          <w:ilvl w:val="1"/>
          <w:numId w:val="2"/>
        </w:numPr>
        <w:jc w:val="both"/>
      </w:pPr>
      <w:r>
        <w:lastRenderedPageBreak/>
        <w:t xml:space="preserve">Where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represents some scaling coefficient</w:t>
      </w:r>
      <w:r w:rsidR="00C07547">
        <w:rPr>
          <w:rFonts w:eastAsiaTheme="minorEastAsia"/>
        </w:rPr>
        <w:t xml:space="preserve"> which coverts volatility into the margin; can be derived from backtesting.</w:t>
      </w:r>
    </w:p>
    <w:p w14:paraId="616CA7E7" w14:textId="65A82A3C" w:rsidR="007A3F9B" w:rsidRPr="00692097" w:rsidRDefault="006165E6" w:rsidP="001B373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6165E6">
        <w:rPr>
          <w:b/>
          <w:bCs/>
        </w:rPr>
        <w:t>Tail Risk Component</w:t>
      </w:r>
      <w:r>
        <w:rPr>
          <w:b/>
          <w:bCs/>
        </w:rPr>
        <w:t xml:space="preserve">: </w:t>
      </w:r>
      <w:r w:rsidR="00711BF1">
        <w:t>captures fat tails, jump risk and policy shocks</w:t>
      </w:r>
      <w:r w:rsidR="00692097">
        <w:t>. The below method balances VaR and CvaR.</w:t>
      </w:r>
    </w:p>
    <w:p w14:paraId="005C591F" w14:textId="2EAB5181" w:rsidR="00692097" w:rsidRPr="00F16734" w:rsidRDefault="0038744D" w:rsidP="001B373B">
      <w:pPr>
        <w:pStyle w:val="ListParagraph"/>
        <w:numPr>
          <w:ilvl w:val="1"/>
          <w:numId w:val="2"/>
        </w:numPr>
        <w:jc w:val="both"/>
        <w:rPr>
          <w:b/>
          <w:bCs/>
        </w:rPr>
      </w:pPr>
      <w:r>
        <w:t>There are two methods</w:t>
      </w:r>
      <w:r w:rsidR="00F16734">
        <w:t xml:space="preserve"> that can be used to calculate VaR</w:t>
      </w:r>
    </w:p>
    <w:p w14:paraId="4B4F7650" w14:textId="5DD4083F" w:rsidR="00F16734" w:rsidRDefault="00F16734" w:rsidP="001B373B">
      <w:pPr>
        <w:pStyle w:val="ListParagraph"/>
        <w:numPr>
          <w:ilvl w:val="2"/>
          <w:numId w:val="2"/>
        </w:numPr>
        <w:jc w:val="both"/>
      </w:pPr>
      <w:r>
        <w:t>Historical VaR</w:t>
      </w:r>
      <w:r w:rsidR="009479C6">
        <w:t>: better to use when there is sufficient intraday history</w:t>
      </w:r>
      <w:r w:rsidR="00261295">
        <w:t>, though misses future shocks</w:t>
      </w:r>
    </w:p>
    <w:p w14:paraId="29395942" w14:textId="77777777" w:rsidR="002E7C13" w:rsidRPr="002E7C13" w:rsidRDefault="002E7C13" w:rsidP="001B373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hist</m:t>
              </m:r>
            </m:sup>
          </m:sSubSup>
          <m:r>
            <w:rPr>
              <w:rFonts w:ascii="Cambria Math" w:hAnsi="Cambria Math"/>
            </w:rPr>
            <m:t>=Quantil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F909973" w14:textId="7251BBD3" w:rsidR="00261295" w:rsidRDefault="002E7C13" w:rsidP="001B373B">
      <w:pPr>
        <w:pStyle w:val="ListParagraph"/>
        <w:numPr>
          <w:ilvl w:val="2"/>
          <w:numId w:val="2"/>
        </w:numPr>
        <w:jc w:val="both"/>
      </w:pPr>
      <w:r>
        <w:t>Cornish-Fisher VaR</w:t>
      </w:r>
      <w:r w:rsidR="00A428B0">
        <w:t xml:space="preserve">: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A428B0">
        <w:rPr>
          <w:rFonts w:eastAsiaTheme="minorEastAsia"/>
        </w:rPr>
        <w:t xml:space="preserve"> is the standard normal qu</w:t>
      </w:r>
      <w:r w:rsidR="00726553">
        <w:rPr>
          <w:rFonts w:eastAsiaTheme="minorEastAsia"/>
        </w:rPr>
        <w:t>antile</w:t>
      </w:r>
      <w:r w:rsidR="008B4C2A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8B4C2A">
        <w:rPr>
          <w:rFonts w:eastAsiaTheme="minorEastAsia"/>
        </w:rPr>
        <w:t xml:space="preserve"> is skew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B4C2A">
        <w:rPr>
          <w:rFonts w:eastAsiaTheme="minorEastAsia"/>
        </w:rPr>
        <w:t xml:space="preserve"> is excess kurtosis. </w:t>
      </w:r>
      <w:r w:rsidR="00F47AF0">
        <w:rPr>
          <w:rFonts w:eastAsiaTheme="minorEastAsia"/>
        </w:rPr>
        <w:t>Its downside is that it is sensitive to noisy skew/kurtosis estimates</w:t>
      </w:r>
    </w:p>
    <w:p w14:paraId="3128F194" w14:textId="6EEBD38B" w:rsidR="00835FDB" w:rsidRPr="00C02C41" w:rsidRDefault="00835FDB" w:rsidP="001B373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CF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​+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2​</m:t>
                  </m:r>
                </m:sup>
              </m:sSubSup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3​</m:t>
                  </m:r>
                </m:sup>
              </m:sSubSup>
              <m:r>
                <w:rPr>
                  <w:rFonts w:ascii="Cambria Math" w:hAnsi="Cambria Math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​-5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5AEE471" w14:textId="1ACE586E" w:rsidR="00C02C41" w:rsidRDefault="00C02C41" w:rsidP="002D726B">
      <w:pPr>
        <w:pStyle w:val="ListParagraph"/>
        <w:numPr>
          <w:ilvl w:val="1"/>
          <w:numId w:val="2"/>
        </w:numPr>
        <w:jc w:val="both"/>
      </w:pPr>
      <w:r>
        <w:t xml:space="preserve">Introducing L-moments: L-moments are linear combinations of order </w:t>
      </w:r>
      <w:r w:rsidR="006C32F3">
        <w:t>statistics and</w:t>
      </w:r>
      <w:r w:rsidR="00061B68">
        <w:t xml:space="preserve"> are better for skew/kurtosis for heavy-tailed, small samples</w:t>
      </w:r>
      <w:r w:rsidR="000458CD">
        <w:t>. Use this in the case that intra-day data is insufficient to calculate skew and kurtosis</w:t>
      </w:r>
      <w:r w:rsidR="00107D8A">
        <w:t>, and in the case where there is even less data, consider using Bayesian-shrinkage of L-moments</w:t>
      </w:r>
      <w:r w:rsidR="007826D0">
        <w:t>.</w:t>
      </w:r>
    </w:p>
    <w:p w14:paraId="6203ADA8" w14:textId="1CCB6724" w:rsidR="00351F68" w:rsidRDefault="00351F68" w:rsidP="002D726B">
      <w:pPr>
        <w:pStyle w:val="ListParagraph"/>
        <w:numPr>
          <w:ilvl w:val="1"/>
          <w:numId w:val="2"/>
        </w:numPr>
        <w:jc w:val="both"/>
      </w:pPr>
      <w:r>
        <w:t>Then calculating CvaR</w:t>
      </w:r>
      <w:r w:rsidR="00AE6B66">
        <w:t xml:space="preserve"> (might need to use Parametric CVaR if there is insufficient data)</w:t>
      </w:r>
      <w:r>
        <w:t>:</w:t>
      </w:r>
    </w:p>
    <w:p w14:paraId="1357C829" w14:textId="32E6D308" w:rsidR="00E57284" w:rsidRDefault="00E57284" w:rsidP="001B373B">
      <w:pPr>
        <w:ind w:left="360"/>
        <w:jc w:val="both"/>
      </w:pPr>
      <m:oMathPara>
        <m:oMath>
          <m:r>
            <w:rPr>
              <w:rFonts w:ascii="Cambria Math" w:hAnsi="Cambria Math"/>
            </w:rPr>
            <m:t>CVa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​=E[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Δt</m:t>
              </m:r>
            </m:sub>
          </m:sSub>
          <m:r>
            <w:rPr>
              <w:rFonts w:ascii="Cambria Math" w:hAnsi="Cambria Math"/>
            </w:rPr>
            <m:t>​∣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Δt</m:t>
              </m:r>
            </m:sub>
          </m:sSub>
          <m:r>
            <w:rPr>
              <w:rFonts w:ascii="Cambria Math" w:hAnsi="Cambria Math"/>
            </w:rPr>
            <m:t>​≤Va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​]</m:t>
          </m:r>
        </m:oMath>
      </m:oMathPara>
    </w:p>
    <w:p w14:paraId="196E72F4" w14:textId="17EA7B38" w:rsidR="00941736" w:rsidRDefault="00941736" w:rsidP="002D726B">
      <w:pPr>
        <w:pStyle w:val="ListParagraph"/>
        <w:numPr>
          <w:ilvl w:val="1"/>
          <w:numId w:val="2"/>
        </w:numPr>
        <w:jc w:val="both"/>
      </w:pPr>
      <w:r>
        <w:t>The margin component is therefore:</w:t>
      </w:r>
    </w:p>
    <w:p w14:paraId="3F3FB466" w14:textId="511923A0" w:rsidR="00941736" w:rsidRPr="00AD36D7" w:rsidRDefault="00BA067D" w:rsidP="001B373B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VaR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VaR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CVaR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CVaR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VaR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14:paraId="027761AF" w14:textId="5303DA92" w:rsidR="00AD36D7" w:rsidRDefault="00AD36D7" w:rsidP="002D726B">
      <w:pPr>
        <w:pStyle w:val="ListParagraph"/>
        <w:numPr>
          <w:ilvl w:val="1"/>
          <w:numId w:val="2"/>
        </w:numPr>
        <w:jc w:val="both"/>
      </w:pPr>
      <w:r>
        <w:t>But can also adjust for skew and kurtosis</w:t>
      </w:r>
      <w:r w:rsidR="009C61B9">
        <w:t>:</w:t>
      </w:r>
    </w:p>
    <w:p w14:paraId="4BB65605" w14:textId="0D1FF893" w:rsidR="009C61B9" w:rsidRDefault="00BA067D" w:rsidP="001B373B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(2)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β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e>
          </m:d>
        </m:oMath>
      </m:oMathPara>
    </w:p>
    <w:p w14:paraId="2B282AB2" w14:textId="6AC94E1A" w:rsidR="00261295" w:rsidRDefault="007663F5" w:rsidP="001B373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53670">
        <w:rPr>
          <w:b/>
          <w:bCs/>
        </w:rPr>
        <w:t>Regime instability</w:t>
      </w:r>
      <w:r w:rsidR="00307B53">
        <w:rPr>
          <w:b/>
          <w:bCs/>
        </w:rPr>
        <w:t xml:space="preserve">: </w:t>
      </w:r>
      <w:r w:rsidR="008612F5" w:rsidRPr="008612F5">
        <w:t>attemptin</w:t>
      </w:r>
      <w:r w:rsidR="008612F5">
        <w:t>g to capture the probability that current volatility dynamics will not persist</w:t>
      </w:r>
      <w:r w:rsidR="007130D2">
        <w:t>. This includes jumps/gaps, liquidity shocks, policy changes etc. Below shows a composite approach</w:t>
      </w:r>
    </w:p>
    <w:p w14:paraId="2904F399" w14:textId="77777777" w:rsidR="00CA6A55" w:rsidRDefault="007130D2" w:rsidP="00CA6A55">
      <w:pPr>
        <w:pStyle w:val="ListParagraph"/>
        <w:numPr>
          <w:ilvl w:val="1"/>
          <w:numId w:val="2"/>
        </w:numPr>
        <w:jc w:val="both"/>
      </w:pPr>
      <w:r w:rsidRPr="00CA6A55">
        <w:rPr>
          <w:b/>
          <w:bCs/>
        </w:rPr>
        <w:t>Short-Long Volatility Divergence</w:t>
      </w:r>
      <w:r w:rsidR="00D51A25" w:rsidRPr="00CA6A55">
        <w:rPr>
          <w:b/>
          <w:bCs/>
        </w:rPr>
        <w:t>:</w:t>
      </w:r>
      <w:r w:rsidR="00D51A25" w:rsidRPr="00CA6A55">
        <w:t xml:space="preserve"> </w:t>
      </w:r>
      <w:r w:rsidR="00D51A25">
        <w:t xml:space="preserve">showing whether current volatility dynamics are </w:t>
      </w:r>
      <w:r w:rsidR="000F47BC">
        <w:t>in line with historical dynamics. That is,</w:t>
      </w:r>
      <w:r w:rsidR="00B54AA0">
        <w:t xml:space="preserve"> testing whether</w:t>
      </w:r>
      <w:r w:rsidR="000F47BC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short</m:t>
            </m:r>
          </m:sup>
        </m:sSubSup>
      </m:oMath>
      <w:r w:rsidR="000F47BC" w:rsidRPr="00CA6A55">
        <w:t xml:space="preserve"> (short-term volatility dynamics) is approximately </w:t>
      </w:r>
      <w:r w:rsidR="00B54AA0" w:rsidRPr="00CA6A55">
        <w:t xml:space="preserve">near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long</m:t>
            </m:r>
          </m:sup>
        </m:sSubSup>
      </m:oMath>
      <w:r w:rsidR="00B54AA0" w:rsidRPr="00CA6A55">
        <w:t xml:space="preserve"> (longer-term volatility dynamics)</w:t>
      </w:r>
      <w:r w:rsidR="006C1878" w:rsidRPr="00CA6A55">
        <w:t xml:space="preserve">. </w:t>
      </w:r>
    </w:p>
    <w:p w14:paraId="6A8C54FB" w14:textId="77777777" w:rsidR="00CA6A55" w:rsidRDefault="001B373B" w:rsidP="00CA6A55">
      <w:pPr>
        <w:pStyle w:val="ListParagraph"/>
        <w:numPr>
          <w:ilvl w:val="1"/>
          <w:numId w:val="2"/>
        </w:numPr>
        <w:jc w:val="both"/>
      </w:pPr>
      <w:r w:rsidRPr="00CA6A55">
        <w:t>Typically,</w:t>
      </w:r>
      <w:r w:rsidR="00FE718D" w:rsidRPr="00CA6A55">
        <w:t xml:space="preserve"> we would expect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long</m:t>
            </m:r>
          </m:sub>
        </m:sSub>
      </m:oMath>
      <w:r w:rsidRPr="00CA6A55">
        <w:t xml:space="preserve"> to be about 10 to 30 times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short</m:t>
            </m:r>
          </m:sub>
        </m:sSub>
      </m:oMath>
      <w:r w:rsidRPr="00CA6A55">
        <w:t xml:space="preserve"> though it’s </w:t>
      </w:r>
      <w:r w:rsidR="002D726B" w:rsidRPr="00CA6A55">
        <w:t>worthwhile</w:t>
      </w:r>
      <w:r w:rsidRPr="00CA6A55">
        <w:t xml:space="preserve"> experimenting with different ratios. </w:t>
      </w:r>
    </w:p>
    <w:p w14:paraId="6B698261" w14:textId="1F3C3217" w:rsidR="00CA6A55" w:rsidRDefault="006A66AD" w:rsidP="00CA6A55">
      <w:pPr>
        <w:pStyle w:val="ListParagraph"/>
        <w:numPr>
          <w:ilvl w:val="1"/>
          <w:numId w:val="2"/>
        </w:numPr>
        <w:jc w:val="both"/>
      </w:pPr>
      <w:r>
        <w:t>For estimating volatility use HAR or EWMA.</w:t>
      </w:r>
    </w:p>
    <w:p w14:paraId="191C26EE" w14:textId="24A51028" w:rsidR="006C1878" w:rsidRPr="00CA6A55" w:rsidRDefault="006C1878" w:rsidP="00CA6A55">
      <w:pPr>
        <w:pStyle w:val="ListParagraph"/>
        <w:numPr>
          <w:ilvl w:val="1"/>
          <w:numId w:val="2"/>
        </w:numPr>
        <w:jc w:val="both"/>
      </w:pPr>
      <w:r w:rsidRPr="00CA6A55">
        <w:t>There are several ways to test it</w:t>
      </w:r>
    </w:p>
    <w:p w14:paraId="756E1FC5" w14:textId="04067971" w:rsidR="006C1878" w:rsidRDefault="00C54DFE" w:rsidP="001B373B">
      <w:pPr>
        <w:pStyle w:val="ListParagraph"/>
        <w:numPr>
          <w:ilvl w:val="2"/>
          <w:numId w:val="2"/>
        </w:numPr>
        <w:jc w:val="both"/>
      </w:pPr>
      <w:r>
        <w:t xml:space="preserve">Baseline: </w:t>
      </w:r>
      <w:r w:rsidR="00FE718D">
        <w:t>overreacts to single spikes and ignores estimation errors</w:t>
      </w:r>
    </w:p>
    <w:p w14:paraId="0F88E3DF" w14:textId="00C34794" w:rsidR="006C1878" w:rsidRDefault="00BA067D" w:rsidP="001B373B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w:rPr>
                          <w:rFonts w:ascii="Cambria Math" w:hAnsi="Cambria Math"/>
                        </w:rPr>
                        <m:t>ort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long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long</m:t>
                  </m:r>
                </m:sup>
              </m:sSubSup>
            </m:den>
          </m:f>
        </m:oMath>
      </m:oMathPara>
    </w:p>
    <w:p w14:paraId="3D2EFD80" w14:textId="79F9BAB8" w:rsidR="00DD3208" w:rsidRDefault="006C1878" w:rsidP="00DD3208">
      <w:pPr>
        <w:pStyle w:val="ListParagraph"/>
        <w:numPr>
          <w:ilvl w:val="2"/>
          <w:numId w:val="2"/>
        </w:numPr>
        <w:jc w:val="both"/>
      </w:pPr>
      <w:r>
        <w:t>A</w:t>
      </w:r>
      <w:r w:rsidR="00920485">
        <w:t>djusted:</w:t>
      </w:r>
      <w:r w:rsidR="00A44118">
        <w:t xml:space="preserve"> </w:t>
      </w:r>
      <w:r w:rsidR="00B82674">
        <w:t>EWMA</w:t>
      </w:r>
      <w:r w:rsidR="000F3D5D">
        <w:t xml:space="preserve"> smooths the divergence signal over time, stops single volatility spikes from producing a large sudden margin.</w:t>
      </w:r>
      <w:r w:rsidR="00B23826">
        <w:t xml:space="preserve"> Log in the numerator stabilises the </w:t>
      </w:r>
      <w:r w:rsidR="00B23826">
        <w:lastRenderedPageBreak/>
        <w:t xml:space="preserve">scale, ensures proportionality and makes the measure symmetric. </w:t>
      </w:r>
      <w:r w:rsidR="001E3454">
        <w:t xml:space="preserve">In the denominator, dividing by the number of observations </w:t>
      </w:r>
      <m:oMath>
        <m:r>
          <w:rPr>
            <w:rFonts w:ascii="Cambria Math" w:hAnsi="Cambria Math"/>
          </w:rPr>
          <m:t>N</m:t>
        </m:r>
      </m:oMath>
      <w:r w:rsidR="001E3454">
        <w:rPr>
          <w:rFonts w:eastAsiaTheme="minorEastAsia"/>
        </w:rPr>
        <w:t xml:space="preserve"> estimates the standard errors</w:t>
      </w:r>
      <w:r w:rsidR="008E344D">
        <w:rPr>
          <w:rFonts w:eastAsiaTheme="minorEastAsia"/>
        </w:rPr>
        <w:t>. Can also</w:t>
      </w:r>
      <w:r w:rsidR="00DD3208">
        <w:rPr>
          <w:rFonts w:eastAsiaTheme="minorEastAsia"/>
        </w:rPr>
        <w:t xml:space="preserve"> downweight negative divergence</w:t>
      </w:r>
      <w:r w:rsidR="00653828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η&lt;1</m:t>
        </m:r>
      </m:oMath>
      <w:r w:rsidR="00653828">
        <w:rPr>
          <w:rFonts w:eastAsiaTheme="minorEastAsia"/>
        </w:rPr>
        <w:t>)</w:t>
      </w:r>
      <w:r w:rsidR="00DD3208">
        <w:rPr>
          <w:rFonts w:eastAsiaTheme="minorEastAsia"/>
        </w:rPr>
        <w:t>.</w:t>
      </w:r>
    </w:p>
    <w:p w14:paraId="2041FAE1" w14:textId="586571DF" w:rsidR="00920485" w:rsidRPr="00DD3208" w:rsidRDefault="00BA067D" w:rsidP="00920485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EWMA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ort</m:t>
                                  </m:r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long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</m:func>
                        </m:e>
                      </m:func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ort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ort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long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long</m:t>
                              </m:r>
                            </m:sub>
                          </m:sSub>
                        </m:den>
                      </m:f>
                    </m:e>
                  </m:rad>
                </m:den>
              </m:f>
            </m:e>
          </m:d>
        </m:oMath>
      </m:oMathPara>
    </w:p>
    <w:p w14:paraId="4619EC96" w14:textId="5FA0A92E" w:rsidR="00DD3208" w:rsidRPr="00983CEB" w:rsidRDefault="00BA067D" w:rsidP="00920485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final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w:rPr>
                          <w:rFonts w:ascii="Cambria Math" w:hAnsi="Cambria Math"/>
                        </w:rPr>
                        <m:t>ort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≥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long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w:rPr>
                          <w:rFonts w:ascii="Cambria Math" w:hAnsi="Cambria Math"/>
                        </w:rPr>
                        <m:t>ort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&lt;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long</m:t>
                      </m:r>
                    </m:sup>
                  </m:sSup>
                </m:e>
              </m:eqArr>
            </m:e>
          </m:d>
        </m:oMath>
      </m:oMathPara>
    </w:p>
    <w:p w14:paraId="0CE67E93" w14:textId="3E9A14EE" w:rsidR="00983CEB" w:rsidRDefault="00E47A3C" w:rsidP="00E47A3C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E47A3C">
        <w:rPr>
          <w:b/>
          <w:bCs/>
        </w:rPr>
        <w:t>Volatility-of-</w:t>
      </w:r>
      <w:proofErr w:type="gramStart"/>
      <w:r w:rsidRPr="00E47A3C">
        <w:rPr>
          <w:b/>
          <w:bCs/>
        </w:rPr>
        <w:t>Volatility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552FC2">
        <w:t>is a measure of how much volatility changes</w:t>
      </w:r>
      <w:r w:rsidR="002B4AAE">
        <w:t>. It is important to include</w:t>
      </w:r>
      <w:r w:rsidR="0059542A">
        <w:t xml:space="preserve">, as it helps to capture changing market conditions. For example, if a currency is typically stable but suddenly becomes </w:t>
      </w:r>
      <w:proofErr w:type="gramStart"/>
      <w:r w:rsidR="0059542A">
        <w:t>erratic</w:t>
      </w:r>
      <w:proofErr w:type="gramEnd"/>
      <w:r w:rsidR="00277880">
        <w:t xml:space="preserve"> we want to be able to capture that and apply higher margins.</w:t>
      </w:r>
    </w:p>
    <w:p w14:paraId="7A420814" w14:textId="4C0D0804" w:rsidR="00CF2B19" w:rsidRPr="00CF2B19" w:rsidRDefault="00CF2B19" w:rsidP="00CF2B1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Var(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t-k:t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k-1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t-k:t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64979503" w14:textId="2C381279" w:rsidR="00CF2B19" w:rsidRPr="00CF2B19" w:rsidRDefault="00CF2B19" w:rsidP="00CF2B1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EWMA(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570CDB52" w14:textId="04EAC74C" w:rsidR="00CF2B19" w:rsidRDefault="00035A3C" w:rsidP="00CF2B19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035A3C">
        <w:rPr>
          <w:b/>
          <w:bCs/>
        </w:rPr>
        <w:t>Tail Dominance:</w:t>
      </w:r>
      <w:r w:rsidR="00277880">
        <w:rPr>
          <w:b/>
          <w:bCs/>
        </w:rPr>
        <w:t xml:space="preserve"> </w:t>
      </w:r>
      <w:r w:rsidR="00277880" w:rsidRPr="00277880">
        <w:t>captures</w:t>
      </w:r>
      <w:r w:rsidR="00277880">
        <w:t xml:space="preserve"> the extremeness of price moves relative to typical volatility</w:t>
      </w:r>
      <w:r w:rsidR="00FD7B07">
        <w:t>.</w:t>
      </w:r>
    </w:p>
    <w:p w14:paraId="1FF2A01B" w14:textId="2CC41B8D" w:rsidR="00035A3C" w:rsidRPr="009D5C35" w:rsidRDefault="00BA067D" w:rsidP="00035A3C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CVa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04EAE61A" w14:textId="7033BBC3" w:rsidR="009D5C35" w:rsidRDefault="00FD7B07" w:rsidP="009D5C35">
      <w:pPr>
        <w:pStyle w:val="ListParagraph"/>
        <w:numPr>
          <w:ilvl w:val="0"/>
          <w:numId w:val="12"/>
        </w:numPr>
        <w:jc w:val="both"/>
      </w:pPr>
      <w:r>
        <w:t xml:space="preserve">Additional statistical checks: </w:t>
      </w:r>
      <w:r w:rsidR="009D5C35">
        <w:t>KS distance and Wasserstein distance</w:t>
      </w:r>
      <w:r w:rsidR="007214E3">
        <w:t xml:space="preserve"> as a check to see shifts in return distribution</w:t>
      </w:r>
    </w:p>
    <w:p w14:paraId="1A5CF59D" w14:textId="2058C870" w:rsidR="00B83F00" w:rsidRDefault="00B83F00" w:rsidP="009D5C35">
      <w:pPr>
        <w:pStyle w:val="ListParagraph"/>
        <w:numPr>
          <w:ilvl w:val="0"/>
          <w:numId w:val="12"/>
        </w:numPr>
        <w:jc w:val="both"/>
      </w:pPr>
      <w:r>
        <w:t>Converting into</w:t>
      </w:r>
      <w:r w:rsidR="00784C2B">
        <w:t xml:space="preserve"> break probability proxy</w:t>
      </w:r>
      <w:r w:rsidR="0085743D">
        <w:t>, by normalising the components (each should be dimensionless, winsorised and mapped to [0, 1]</w:t>
      </w:r>
      <w:r w:rsidR="00CA2A9F">
        <w:t>. Aggregate with weights e.g.:</w:t>
      </w:r>
    </w:p>
    <w:p w14:paraId="7E65F2BD" w14:textId="48E2C26C" w:rsidR="00CA2A9F" w:rsidRPr="00C144EE" w:rsidRDefault="00BA067D" w:rsidP="00CA2A9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vol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V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48137EC" w14:textId="1A195D30" w:rsidR="00C144EE" w:rsidRDefault="00C144EE" w:rsidP="00C144EE">
      <w:pPr>
        <w:pStyle w:val="ListParagraph"/>
        <w:numPr>
          <w:ilvl w:val="0"/>
          <w:numId w:val="14"/>
        </w:numPr>
        <w:jc w:val="both"/>
      </w:pPr>
      <w:r>
        <w:t>Convert to probability</w:t>
      </w:r>
      <w:r w:rsidR="004564C6">
        <w:t xml:space="preserve"> (where </w:t>
      </w:r>
      <m:oMath>
        <m:r>
          <w:rPr>
            <w:rFonts w:ascii="Cambria Math" w:hAnsi="Cambria Math"/>
          </w:rPr>
          <m:t>κ</m:t>
        </m:r>
      </m:oMath>
      <w:r w:rsidR="004564C6">
        <w:rPr>
          <w:rFonts w:eastAsiaTheme="minorEastAsia"/>
        </w:rPr>
        <w:t xml:space="preserve"> is the </w:t>
      </w:r>
      <w:r w:rsidR="003B3377">
        <w:rPr>
          <w:rFonts w:eastAsiaTheme="minorEastAsia"/>
        </w:rPr>
        <w:t xml:space="preserve">scaling </w:t>
      </w:r>
      <w:r w:rsidR="000C2B04">
        <w:rPr>
          <w:rFonts w:eastAsiaTheme="minorEastAsia"/>
        </w:rPr>
        <w:t>parameter</w:t>
      </w:r>
      <w:r w:rsidR="003B3377">
        <w:rPr>
          <w:rFonts w:eastAsiaTheme="minorEastAsia"/>
        </w:rPr>
        <w:t>, can be calibrated empirically</w:t>
      </w:r>
      <w:r w:rsidR="004564C6">
        <w:t>)</w:t>
      </w:r>
      <w:r>
        <w:t>:</w:t>
      </w:r>
    </w:p>
    <w:p w14:paraId="1F0AE22C" w14:textId="7C6631BC" w:rsidR="00C144EE" w:rsidRPr="00E540F6" w:rsidRDefault="00BA067D" w:rsidP="00C144EE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instab</m:t>
              </m:r>
            </m:sup>
          </m:sSubSup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</m:oMath>
      </m:oMathPara>
    </w:p>
    <w:p w14:paraId="420F71E6" w14:textId="273C09A7" w:rsidR="00E540F6" w:rsidRPr="00035A3C" w:rsidRDefault="00E540F6" w:rsidP="00C144EE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instab</m:t>
              </m:r>
            </m:sup>
          </m:sSub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base</m:t>
              </m:r>
            </m:sup>
          </m:sSup>
        </m:oMath>
      </m:oMathPara>
    </w:p>
    <w:sectPr w:rsidR="00E540F6" w:rsidRPr="00035A3C" w:rsidSect="00C46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4E9"/>
    <w:multiLevelType w:val="hybridMultilevel"/>
    <w:tmpl w:val="B7BAF8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C11152"/>
    <w:multiLevelType w:val="hybridMultilevel"/>
    <w:tmpl w:val="D7068E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2417D5"/>
    <w:multiLevelType w:val="hybridMultilevel"/>
    <w:tmpl w:val="011CD9D6"/>
    <w:lvl w:ilvl="0" w:tplc="FFFFFFF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60" w:hanging="360"/>
      </w:pPr>
    </w:lvl>
    <w:lvl w:ilvl="2" w:tplc="0809001B" w:tentative="1">
      <w:start w:val="1"/>
      <w:numFmt w:val="lowerRoman"/>
      <w:lvlText w:val="%3."/>
      <w:lvlJc w:val="right"/>
      <w:pPr>
        <w:ind w:left="3780" w:hanging="180"/>
      </w:pPr>
    </w:lvl>
    <w:lvl w:ilvl="3" w:tplc="0809000F" w:tentative="1">
      <w:start w:val="1"/>
      <w:numFmt w:val="decimal"/>
      <w:lvlText w:val="%4."/>
      <w:lvlJc w:val="left"/>
      <w:pPr>
        <w:ind w:left="4500" w:hanging="360"/>
      </w:pPr>
    </w:lvl>
    <w:lvl w:ilvl="4" w:tplc="08090019" w:tentative="1">
      <w:start w:val="1"/>
      <w:numFmt w:val="lowerLetter"/>
      <w:lvlText w:val="%5."/>
      <w:lvlJc w:val="left"/>
      <w:pPr>
        <w:ind w:left="5220" w:hanging="360"/>
      </w:pPr>
    </w:lvl>
    <w:lvl w:ilvl="5" w:tplc="0809001B" w:tentative="1">
      <w:start w:val="1"/>
      <w:numFmt w:val="lowerRoman"/>
      <w:lvlText w:val="%6."/>
      <w:lvlJc w:val="right"/>
      <w:pPr>
        <w:ind w:left="5940" w:hanging="180"/>
      </w:pPr>
    </w:lvl>
    <w:lvl w:ilvl="6" w:tplc="0809000F" w:tentative="1">
      <w:start w:val="1"/>
      <w:numFmt w:val="decimal"/>
      <w:lvlText w:val="%7."/>
      <w:lvlJc w:val="left"/>
      <w:pPr>
        <w:ind w:left="6660" w:hanging="360"/>
      </w:pPr>
    </w:lvl>
    <w:lvl w:ilvl="7" w:tplc="08090019" w:tentative="1">
      <w:start w:val="1"/>
      <w:numFmt w:val="lowerLetter"/>
      <w:lvlText w:val="%8."/>
      <w:lvlJc w:val="left"/>
      <w:pPr>
        <w:ind w:left="7380" w:hanging="360"/>
      </w:pPr>
    </w:lvl>
    <w:lvl w:ilvl="8" w:tplc="0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12EC14B8"/>
    <w:multiLevelType w:val="hybridMultilevel"/>
    <w:tmpl w:val="637CED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0058C"/>
    <w:multiLevelType w:val="hybridMultilevel"/>
    <w:tmpl w:val="069A7A8A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37003F51"/>
    <w:multiLevelType w:val="hybridMultilevel"/>
    <w:tmpl w:val="90323F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1440" w:hanging="360"/>
      </w:pPr>
    </w:lvl>
    <w:lvl w:ilvl="3" w:tplc="FFFFFFFF">
      <w:start w:val="1"/>
      <w:numFmt w:val="lowerRoman"/>
      <w:lvlText w:val="%4."/>
      <w:lvlJc w:val="right"/>
      <w:pPr>
        <w:ind w:left="1440" w:hanging="360"/>
      </w:p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lowerRoman"/>
      <w:lvlText w:val="%6."/>
      <w:lvlJc w:val="right"/>
      <w:pPr>
        <w:ind w:left="1440" w:hanging="360"/>
      </w:p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570A1D"/>
    <w:multiLevelType w:val="hybridMultilevel"/>
    <w:tmpl w:val="D86EAA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15759"/>
    <w:multiLevelType w:val="hybridMultilevel"/>
    <w:tmpl w:val="B544A89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880" w:hanging="360"/>
      </w:p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6D6283"/>
    <w:multiLevelType w:val="hybridMultilevel"/>
    <w:tmpl w:val="32543F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AB56A9"/>
    <w:multiLevelType w:val="hybridMultilevel"/>
    <w:tmpl w:val="B61CF7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017F01"/>
    <w:multiLevelType w:val="hybridMultilevel"/>
    <w:tmpl w:val="8EE0B04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2F45F7"/>
    <w:multiLevelType w:val="hybridMultilevel"/>
    <w:tmpl w:val="CEA2A6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1D6C47"/>
    <w:multiLevelType w:val="hybridMultilevel"/>
    <w:tmpl w:val="599C1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EB5168"/>
    <w:multiLevelType w:val="hybridMultilevel"/>
    <w:tmpl w:val="9EEEB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170799">
    <w:abstractNumId w:val="6"/>
  </w:num>
  <w:num w:numId="2" w16cid:durableId="2021010103">
    <w:abstractNumId w:val="3"/>
  </w:num>
  <w:num w:numId="3" w16cid:durableId="1893957049">
    <w:abstractNumId w:val="13"/>
  </w:num>
  <w:num w:numId="4" w16cid:durableId="808130246">
    <w:abstractNumId w:val="8"/>
  </w:num>
  <w:num w:numId="5" w16cid:durableId="153883058">
    <w:abstractNumId w:val="4"/>
  </w:num>
  <w:num w:numId="6" w16cid:durableId="1045524167">
    <w:abstractNumId w:val="2"/>
  </w:num>
  <w:num w:numId="7" w16cid:durableId="305672026">
    <w:abstractNumId w:val="9"/>
  </w:num>
  <w:num w:numId="8" w16cid:durableId="2014215596">
    <w:abstractNumId w:val="0"/>
  </w:num>
  <w:num w:numId="9" w16cid:durableId="1244997492">
    <w:abstractNumId w:val="7"/>
  </w:num>
  <w:num w:numId="10" w16cid:durableId="328755055">
    <w:abstractNumId w:val="10"/>
  </w:num>
  <w:num w:numId="11" w16cid:durableId="1068066056">
    <w:abstractNumId w:val="5"/>
  </w:num>
  <w:num w:numId="12" w16cid:durableId="677198294">
    <w:abstractNumId w:val="1"/>
  </w:num>
  <w:num w:numId="13" w16cid:durableId="114106682">
    <w:abstractNumId w:val="12"/>
  </w:num>
  <w:num w:numId="14" w16cid:durableId="8819453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00"/>
    <w:rsid w:val="000044D3"/>
    <w:rsid w:val="00035A3C"/>
    <w:rsid w:val="000458CD"/>
    <w:rsid w:val="00061B68"/>
    <w:rsid w:val="00065EA3"/>
    <w:rsid w:val="00083A60"/>
    <w:rsid w:val="000C2B04"/>
    <w:rsid w:val="000C5983"/>
    <w:rsid w:val="000D26A8"/>
    <w:rsid w:val="000F3172"/>
    <w:rsid w:val="000F3D5D"/>
    <w:rsid w:val="000F47BC"/>
    <w:rsid w:val="000F4E69"/>
    <w:rsid w:val="000F50D5"/>
    <w:rsid w:val="00107D8A"/>
    <w:rsid w:val="001138C0"/>
    <w:rsid w:val="00115700"/>
    <w:rsid w:val="00117D0F"/>
    <w:rsid w:val="00143127"/>
    <w:rsid w:val="001503C9"/>
    <w:rsid w:val="001A2657"/>
    <w:rsid w:val="001B373B"/>
    <w:rsid w:val="001E3454"/>
    <w:rsid w:val="00202A18"/>
    <w:rsid w:val="00215AF8"/>
    <w:rsid w:val="00261174"/>
    <w:rsid w:val="00261295"/>
    <w:rsid w:val="00262F55"/>
    <w:rsid w:val="00277880"/>
    <w:rsid w:val="00277A0F"/>
    <w:rsid w:val="00293258"/>
    <w:rsid w:val="002B4AAE"/>
    <w:rsid w:val="002D726B"/>
    <w:rsid w:val="002E7C13"/>
    <w:rsid w:val="00307B53"/>
    <w:rsid w:val="00316A66"/>
    <w:rsid w:val="00351F68"/>
    <w:rsid w:val="0036105E"/>
    <w:rsid w:val="0038744D"/>
    <w:rsid w:val="003B3377"/>
    <w:rsid w:val="003E4B99"/>
    <w:rsid w:val="0042537F"/>
    <w:rsid w:val="004456F3"/>
    <w:rsid w:val="00451ED8"/>
    <w:rsid w:val="004564C6"/>
    <w:rsid w:val="004853BB"/>
    <w:rsid w:val="004926CA"/>
    <w:rsid w:val="00493698"/>
    <w:rsid w:val="004A2DAE"/>
    <w:rsid w:val="004B2D83"/>
    <w:rsid w:val="00522536"/>
    <w:rsid w:val="00532930"/>
    <w:rsid w:val="00552FC2"/>
    <w:rsid w:val="005739CE"/>
    <w:rsid w:val="005772CE"/>
    <w:rsid w:val="00577F4C"/>
    <w:rsid w:val="00581D12"/>
    <w:rsid w:val="00584C91"/>
    <w:rsid w:val="0059542A"/>
    <w:rsid w:val="005C605D"/>
    <w:rsid w:val="005E6015"/>
    <w:rsid w:val="005F04CA"/>
    <w:rsid w:val="006165E6"/>
    <w:rsid w:val="00653828"/>
    <w:rsid w:val="00653F32"/>
    <w:rsid w:val="00690A0C"/>
    <w:rsid w:val="00692097"/>
    <w:rsid w:val="006A66AD"/>
    <w:rsid w:val="006C1878"/>
    <w:rsid w:val="006C32F3"/>
    <w:rsid w:val="006C6FB7"/>
    <w:rsid w:val="006D47FA"/>
    <w:rsid w:val="006F650A"/>
    <w:rsid w:val="00703B25"/>
    <w:rsid w:val="0070506F"/>
    <w:rsid w:val="00711BF1"/>
    <w:rsid w:val="007130D2"/>
    <w:rsid w:val="007214E3"/>
    <w:rsid w:val="00723DDA"/>
    <w:rsid w:val="00726553"/>
    <w:rsid w:val="007362E9"/>
    <w:rsid w:val="00761FA3"/>
    <w:rsid w:val="007663F5"/>
    <w:rsid w:val="007826D0"/>
    <w:rsid w:val="00784C2B"/>
    <w:rsid w:val="007A3F9B"/>
    <w:rsid w:val="007C7F39"/>
    <w:rsid w:val="007D3C98"/>
    <w:rsid w:val="00835FDB"/>
    <w:rsid w:val="0085743D"/>
    <w:rsid w:val="008612F5"/>
    <w:rsid w:val="008B4C2A"/>
    <w:rsid w:val="008E344D"/>
    <w:rsid w:val="008F647E"/>
    <w:rsid w:val="00920485"/>
    <w:rsid w:val="00930623"/>
    <w:rsid w:val="00941736"/>
    <w:rsid w:val="009479C6"/>
    <w:rsid w:val="00956509"/>
    <w:rsid w:val="00965644"/>
    <w:rsid w:val="0097385D"/>
    <w:rsid w:val="00983CEB"/>
    <w:rsid w:val="009920BC"/>
    <w:rsid w:val="0099643E"/>
    <w:rsid w:val="009A2AD1"/>
    <w:rsid w:val="009A7A7B"/>
    <w:rsid w:val="009B4B69"/>
    <w:rsid w:val="009C61B9"/>
    <w:rsid w:val="009D1788"/>
    <w:rsid w:val="009D5C35"/>
    <w:rsid w:val="009E3149"/>
    <w:rsid w:val="00A428B0"/>
    <w:rsid w:val="00A44118"/>
    <w:rsid w:val="00A53670"/>
    <w:rsid w:val="00A961D0"/>
    <w:rsid w:val="00AD36D7"/>
    <w:rsid w:val="00AE6B66"/>
    <w:rsid w:val="00AE70A1"/>
    <w:rsid w:val="00B23826"/>
    <w:rsid w:val="00B54AA0"/>
    <w:rsid w:val="00B82674"/>
    <w:rsid w:val="00B83F00"/>
    <w:rsid w:val="00BA067D"/>
    <w:rsid w:val="00BA62DD"/>
    <w:rsid w:val="00C02C41"/>
    <w:rsid w:val="00C06414"/>
    <w:rsid w:val="00C07547"/>
    <w:rsid w:val="00C144EE"/>
    <w:rsid w:val="00C25631"/>
    <w:rsid w:val="00C46B48"/>
    <w:rsid w:val="00C54DFE"/>
    <w:rsid w:val="00CA2777"/>
    <w:rsid w:val="00CA2A9F"/>
    <w:rsid w:val="00CA5793"/>
    <w:rsid w:val="00CA6A55"/>
    <w:rsid w:val="00CB7373"/>
    <w:rsid w:val="00CD4A83"/>
    <w:rsid w:val="00CF2B19"/>
    <w:rsid w:val="00D51A25"/>
    <w:rsid w:val="00D55D22"/>
    <w:rsid w:val="00D60AC6"/>
    <w:rsid w:val="00D64339"/>
    <w:rsid w:val="00DD165B"/>
    <w:rsid w:val="00DD3208"/>
    <w:rsid w:val="00DF65AC"/>
    <w:rsid w:val="00DF6E29"/>
    <w:rsid w:val="00E47A3C"/>
    <w:rsid w:val="00E51F4A"/>
    <w:rsid w:val="00E540F6"/>
    <w:rsid w:val="00E57284"/>
    <w:rsid w:val="00E65A04"/>
    <w:rsid w:val="00EE3503"/>
    <w:rsid w:val="00F16734"/>
    <w:rsid w:val="00F47AF0"/>
    <w:rsid w:val="00FA55CA"/>
    <w:rsid w:val="00FC7221"/>
    <w:rsid w:val="00FD7B07"/>
    <w:rsid w:val="00FE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AE0B"/>
  <w15:chartTrackingRefBased/>
  <w15:docId w15:val="{98C62E81-02AD-4C17-BE37-E8E49A80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0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3F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97802-6DF2-428B-911A-BC6ACDC45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3</Pages>
  <Words>834</Words>
  <Characters>5338</Characters>
  <Application>Microsoft Office Word</Application>
  <DocSecurity>0</DocSecurity>
  <Lines>108</Lines>
  <Paragraphs>77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153</cp:revision>
  <dcterms:created xsi:type="dcterms:W3CDTF">2026-01-14T11:14:00Z</dcterms:created>
  <dcterms:modified xsi:type="dcterms:W3CDTF">2026-01-16T10:30:00Z</dcterms:modified>
</cp:coreProperties>
</file>