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4080" w:rsidRDefault="004C2D11">
      <w:pPr>
        <w:pStyle w:val="Title"/>
      </w:pPr>
      <w:r>
        <w:t>Agreement for Dominion Storage Solution</w:t>
      </w:r>
    </w:p>
    <w:p w:rsidR="00F24080" w:rsidRDefault="00F24080">
      <w:pPr>
        <w:pStyle w:val="BodyText"/>
        <w:jc w:val="left"/>
        <w:rPr>
          <w:b/>
          <w:sz w:val="30"/>
        </w:rPr>
      </w:pPr>
    </w:p>
    <w:p w:rsidR="00F24080" w:rsidRDefault="00F24080">
      <w:pPr>
        <w:pStyle w:val="BodyText"/>
        <w:spacing w:before="3"/>
        <w:jc w:val="left"/>
        <w:rPr>
          <w:b/>
          <w:sz w:val="24"/>
        </w:rPr>
      </w:pPr>
    </w:p>
    <w:p w:rsidR="00F24080" w:rsidRDefault="004C2D11">
      <w:pPr>
        <w:pStyle w:val="BodyText"/>
        <w:spacing w:line="244" w:lineRule="auto"/>
        <w:ind w:left="136" w:right="115"/>
      </w:pPr>
      <w:r>
        <w:t xml:space="preserve">This agreement is between Rio Grande Games, Inc., 18 Santa Ana Loop, Placitas, NM 87043, USA, hereafter LICENSOR, and Matthew Johnson dba Artificer's Lounge, </w:t>
      </w:r>
      <w:r>
        <w:rPr>
          <w:rFonts w:ascii="Calibri"/>
          <w:sz w:val="21"/>
        </w:rPr>
        <w:t xml:space="preserve">8030 199th Ave NE, Redmond, WA 98053 </w:t>
      </w:r>
      <w:r>
        <w:t>thereafter</w:t>
      </w:r>
      <w:r>
        <w:rPr>
          <w:spacing w:val="44"/>
        </w:rPr>
        <w:t xml:space="preserve"> </w:t>
      </w:r>
      <w:r>
        <w:t>LICENSEE.</w:t>
      </w:r>
    </w:p>
    <w:p w:rsidR="00F24080" w:rsidRDefault="004C2D11">
      <w:pPr>
        <w:pStyle w:val="BodyText"/>
        <w:spacing w:before="218" w:line="242" w:lineRule="auto"/>
        <w:ind w:left="136" w:right="111"/>
      </w:pPr>
      <w:r>
        <w:t>This agreement concerns a storage soluti</w:t>
      </w:r>
      <w:r>
        <w:t xml:space="preserve">on, hereafter known as STORAGE SOLUTION, for the board game known as </w:t>
      </w:r>
      <w:r>
        <w:rPr>
          <w:b/>
          <w:spacing w:val="-145"/>
          <w:u w:val="single"/>
        </w:rPr>
        <w:t>D</w:t>
      </w:r>
      <w:r>
        <w:rPr>
          <w:b/>
          <w:spacing w:val="87"/>
        </w:rPr>
        <w:t xml:space="preserve"> </w:t>
      </w:r>
      <w:proofErr w:type="spellStart"/>
      <w:r>
        <w:rPr>
          <w:b/>
          <w:u w:val="single"/>
        </w:rPr>
        <w:t>ominion</w:t>
      </w:r>
      <w:proofErr w:type="spellEnd"/>
      <w:r>
        <w:t>, hereafter GAME. LICENSOR warrants that he is the sole exclusive owner of the GAME, whereupon LICENSEE and LICENSOR agree as follows:</w:t>
      </w:r>
    </w:p>
    <w:p w:rsidR="00F24080" w:rsidRDefault="004C2D11">
      <w:pPr>
        <w:pStyle w:val="ListParagraph"/>
        <w:numPr>
          <w:ilvl w:val="0"/>
          <w:numId w:val="1"/>
        </w:numPr>
        <w:tabs>
          <w:tab w:val="left" w:pos="497"/>
        </w:tabs>
        <w:spacing w:before="114" w:line="244" w:lineRule="auto"/>
        <w:ind w:right="110"/>
        <w:jc w:val="both"/>
        <w:rPr>
          <w:sz w:val="20"/>
        </w:rPr>
      </w:pPr>
      <w:r>
        <w:rPr>
          <w:sz w:val="20"/>
        </w:rPr>
        <w:t>LICENSOR grants to LICENSEE a non-exclusive</w:t>
      </w:r>
      <w:r>
        <w:rPr>
          <w:sz w:val="20"/>
        </w:rPr>
        <w:t xml:space="preserve"> license to produce and sell a STORAGE SOLUTION for the GAME, using graphics from the game to promote and encourage sales of the STORAGE SOLUTION. The license does not include electronic rights.</w:t>
      </w:r>
    </w:p>
    <w:p w:rsidR="00F24080" w:rsidRDefault="004C2D11">
      <w:pPr>
        <w:pStyle w:val="ListParagraph"/>
        <w:numPr>
          <w:ilvl w:val="0"/>
          <w:numId w:val="1"/>
        </w:numPr>
        <w:tabs>
          <w:tab w:val="left" w:pos="497"/>
        </w:tabs>
        <w:spacing w:before="162" w:line="235" w:lineRule="auto"/>
        <w:ind w:right="116"/>
        <w:jc w:val="both"/>
        <w:rPr>
          <w:sz w:val="20"/>
        </w:rPr>
      </w:pPr>
      <w:r>
        <w:rPr>
          <w:sz w:val="20"/>
        </w:rPr>
        <w:t>LICENSOR will provide LICENSEE with such files as are reasona</w:t>
      </w:r>
      <w:r>
        <w:rPr>
          <w:sz w:val="20"/>
        </w:rPr>
        <w:t>bly needed for the STORAGE</w:t>
      </w:r>
      <w:r>
        <w:rPr>
          <w:spacing w:val="-1"/>
          <w:sz w:val="20"/>
        </w:rPr>
        <w:t xml:space="preserve"> </w:t>
      </w:r>
      <w:r>
        <w:rPr>
          <w:sz w:val="20"/>
        </w:rPr>
        <w:t>SOLUTION.</w:t>
      </w:r>
    </w:p>
    <w:p w:rsidR="00F24080" w:rsidRDefault="004C2D11">
      <w:pPr>
        <w:pStyle w:val="ListParagraph"/>
        <w:numPr>
          <w:ilvl w:val="0"/>
          <w:numId w:val="1"/>
        </w:numPr>
        <w:tabs>
          <w:tab w:val="left" w:pos="497"/>
        </w:tabs>
        <w:spacing w:before="100" w:line="266" w:lineRule="auto"/>
        <w:ind w:right="113"/>
        <w:jc w:val="both"/>
        <w:rPr>
          <w:sz w:val="20"/>
        </w:rPr>
      </w:pPr>
      <w:r>
        <w:rPr>
          <w:sz w:val="20"/>
        </w:rPr>
        <w:t>LICENSOR will be entitled to 2 units of the STORAGE SOLUTION for itself and the designer.</w:t>
      </w:r>
    </w:p>
    <w:p w:rsidR="00F24080" w:rsidRDefault="004C2D11">
      <w:pPr>
        <w:pStyle w:val="ListParagraph"/>
        <w:numPr>
          <w:ilvl w:val="0"/>
          <w:numId w:val="1"/>
        </w:numPr>
        <w:tabs>
          <w:tab w:val="left" w:pos="497"/>
        </w:tabs>
        <w:spacing w:before="75" w:line="242" w:lineRule="auto"/>
        <w:ind w:right="114"/>
        <w:jc w:val="both"/>
        <w:rPr>
          <w:sz w:val="20"/>
        </w:rPr>
      </w:pPr>
      <w:r>
        <w:rPr>
          <w:sz w:val="20"/>
        </w:rPr>
        <w:t>LICENSEE will send to LICENSOR quarterly statements of account no later than 30 days after each quarter-end, showing the number o</w:t>
      </w:r>
      <w:r>
        <w:rPr>
          <w:sz w:val="20"/>
        </w:rPr>
        <w:t>f units sold during the quarter. Payment will accompany the quarterly statements. LICENSEE agrees to pay LICENSOR a royalty of 10% of the retail price per STORAGE SOLUTION sold including those units sold prior to the date of this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:rsidR="00F24080" w:rsidRDefault="004C2D11">
      <w:pPr>
        <w:pStyle w:val="ListParagraph"/>
        <w:numPr>
          <w:ilvl w:val="0"/>
          <w:numId w:val="1"/>
        </w:numPr>
        <w:tabs>
          <w:tab w:val="left" w:pos="497"/>
        </w:tabs>
        <w:spacing w:before="104" w:line="235" w:lineRule="auto"/>
        <w:jc w:val="both"/>
        <w:rPr>
          <w:sz w:val="20"/>
        </w:rPr>
      </w:pPr>
      <w:r>
        <w:rPr>
          <w:sz w:val="20"/>
        </w:rPr>
        <w:t xml:space="preserve">This agreement </w:t>
      </w:r>
      <w:r>
        <w:rPr>
          <w:sz w:val="20"/>
        </w:rPr>
        <w:t>will come into force on January 29, 2021 and will remain in force, initially, until December 31, 2023, unless LICENSEE discontinues sales of the STORAGE SOLUTION.</w:t>
      </w:r>
    </w:p>
    <w:p w:rsidR="00F24080" w:rsidRDefault="00F24080">
      <w:pPr>
        <w:pStyle w:val="BodyText"/>
        <w:spacing w:before="9"/>
        <w:jc w:val="left"/>
        <w:rPr>
          <w:sz w:val="21"/>
        </w:rPr>
      </w:pPr>
    </w:p>
    <w:p w:rsidR="00F24080" w:rsidRDefault="004C2D11">
      <w:pPr>
        <w:pStyle w:val="ListParagraph"/>
        <w:numPr>
          <w:ilvl w:val="0"/>
          <w:numId w:val="1"/>
        </w:numPr>
        <w:tabs>
          <w:tab w:val="left" w:pos="497"/>
        </w:tabs>
        <w:spacing w:line="249" w:lineRule="auto"/>
        <w:ind w:right="115"/>
        <w:jc w:val="both"/>
        <w:rPr>
          <w:sz w:val="20"/>
        </w:rPr>
      </w:pPr>
      <w:r>
        <w:rPr>
          <w:sz w:val="20"/>
        </w:rPr>
        <w:t>The license granted in this agreement will not be transferred without LICENSOR’s written consent.</w:t>
      </w:r>
    </w:p>
    <w:p w:rsidR="00F24080" w:rsidRDefault="004C2D11">
      <w:pPr>
        <w:pStyle w:val="ListParagraph"/>
        <w:numPr>
          <w:ilvl w:val="0"/>
          <w:numId w:val="1"/>
        </w:numPr>
        <w:tabs>
          <w:tab w:val="left" w:pos="497"/>
        </w:tabs>
        <w:spacing w:before="92" w:line="249" w:lineRule="auto"/>
        <w:jc w:val="both"/>
        <w:rPr>
          <w:sz w:val="20"/>
        </w:rPr>
      </w:pPr>
      <w:r>
        <w:rPr>
          <w:sz w:val="20"/>
        </w:rPr>
        <w:t>This agreement will be interpreted in accordance with the laws of the UNITED STATES OF AMERICA, state of NEW MEXICO. If any provision of this agreement is wai</w:t>
      </w:r>
      <w:r>
        <w:rPr>
          <w:sz w:val="20"/>
        </w:rPr>
        <w:t>ved or declared invalid, this will not affect the validity of the remaining</w:t>
      </w:r>
      <w:r>
        <w:rPr>
          <w:spacing w:val="-11"/>
          <w:sz w:val="20"/>
        </w:rPr>
        <w:t xml:space="preserve"> </w:t>
      </w:r>
      <w:r>
        <w:rPr>
          <w:sz w:val="20"/>
        </w:rPr>
        <w:t>provisions.</w:t>
      </w:r>
    </w:p>
    <w:p w:rsidR="00F24080" w:rsidRDefault="00F24080">
      <w:pPr>
        <w:pStyle w:val="BodyText"/>
        <w:jc w:val="left"/>
        <w:rPr>
          <w:sz w:val="22"/>
        </w:rPr>
      </w:pPr>
    </w:p>
    <w:p w:rsidR="00F24080" w:rsidRDefault="00F24080">
      <w:pPr>
        <w:pStyle w:val="BodyText"/>
        <w:jc w:val="left"/>
        <w:rPr>
          <w:sz w:val="22"/>
        </w:rPr>
      </w:pPr>
    </w:p>
    <w:p w:rsidR="00F24080" w:rsidRDefault="00F24080">
      <w:pPr>
        <w:pStyle w:val="BodyText"/>
        <w:jc w:val="left"/>
        <w:rPr>
          <w:sz w:val="22"/>
        </w:rPr>
      </w:pPr>
    </w:p>
    <w:p w:rsidR="00F24080" w:rsidRDefault="004C2D11">
      <w:pPr>
        <w:pStyle w:val="BodyText"/>
        <w:spacing w:before="6"/>
        <w:jc w:val="left"/>
        <w:rPr>
          <w:sz w:val="19"/>
        </w:rPr>
      </w:pPr>
      <w:r>
        <w:rPr>
          <w:noProof/>
          <w:sz w:val="19"/>
        </w:rPr>
        <w:drawing>
          <wp:inline distT="0" distB="0" distL="0" distR="0">
            <wp:extent cx="1003300" cy="39017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531" cy="4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80" w:rsidRDefault="004C2D11">
      <w:pPr>
        <w:pStyle w:val="BodyText"/>
        <w:tabs>
          <w:tab w:val="left" w:pos="7838"/>
        </w:tabs>
        <w:spacing w:line="228" w:lineRule="exact"/>
        <w:ind w:left="136"/>
      </w:pPr>
      <w:r>
        <w:rPr>
          <w:noProof/>
        </w:rPr>
        <w:drawing>
          <wp:anchor distT="0" distB="0" distL="0" distR="0" simplePos="0" relativeHeight="487560192" behindDoc="1" locked="0" layoutInCell="1" allowOverlap="1">
            <wp:simplePos x="0" y="0"/>
            <wp:positionH relativeFrom="page">
              <wp:posOffset>3820443</wp:posOffset>
            </wp:positionH>
            <wp:positionV relativeFrom="paragraph">
              <wp:posOffset>-257237</wp:posOffset>
            </wp:positionV>
            <wp:extent cx="1935579" cy="3584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579" cy="3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.....................................................</w:t>
      </w:r>
      <w:r>
        <w:tab/>
        <w:t>.</w:t>
      </w:r>
    </w:p>
    <w:p w:rsidR="00F24080" w:rsidRDefault="004C2D11">
      <w:pPr>
        <w:pStyle w:val="BodyText"/>
        <w:tabs>
          <w:tab w:val="left" w:pos="4460"/>
        </w:tabs>
        <w:spacing w:line="228" w:lineRule="exact"/>
        <w:ind w:left="136"/>
      </w:pP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LICENSEE</w:t>
      </w:r>
      <w:r>
        <w:tab/>
        <w:t>Signed by LICENSOR</w:t>
      </w:r>
    </w:p>
    <w:p w:rsidR="00F24080" w:rsidRDefault="004C2D11">
      <w:pPr>
        <w:pStyle w:val="BodyText"/>
        <w:tabs>
          <w:tab w:val="left" w:pos="4460"/>
        </w:tabs>
        <w:spacing w:before="101"/>
        <w:ind w:left="136"/>
      </w:pPr>
      <w:r>
        <w:t>Date:1/31/2021</w:t>
      </w:r>
      <w:r>
        <w:tab/>
        <w:t>Date:</w:t>
      </w:r>
      <w:r>
        <w:rPr>
          <w:spacing w:val="52"/>
          <w:u w:val="single"/>
        </w:rPr>
        <w:t xml:space="preserve"> </w:t>
      </w:r>
      <w:r>
        <w:rPr>
          <w:u w:val="single"/>
        </w:rPr>
        <w:t>1-29-2021</w:t>
      </w:r>
    </w:p>
    <w:p w:rsidR="00F24080" w:rsidRDefault="00F24080">
      <w:pPr>
        <w:sectPr w:rsidR="00F24080">
          <w:type w:val="continuous"/>
          <w:pgSz w:w="11920" w:h="16860"/>
          <w:pgMar w:top="1000" w:right="1680" w:bottom="280" w:left="1680" w:header="720" w:footer="720" w:gutter="0"/>
          <w:cols w:space="720"/>
        </w:sectPr>
      </w:pPr>
    </w:p>
    <w:p w:rsidR="00F24080" w:rsidRDefault="004C2D11">
      <w:pPr>
        <w:pStyle w:val="BodyText"/>
        <w:spacing w:before="78"/>
        <w:ind w:right="113"/>
        <w:jc w:val="right"/>
      </w:pPr>
      <w:r>
        <w:lastRenderedPageBreak/>
        <w:t>1</w:t>
      </w:r>
    </w:p>
    <w:sectPr w:rsidR="00F24080">
      <w:pgSz w:w="11920" w:h="16860"/>
      <w:pgMar w:top="11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E3F23"/>
    <w:multiLevelType w:val="hybridMultilevel"/>
    <w:tmpl w:val="DD1ABFE6"/>
    <w:lvl w:ilvl="0" w:tplc="66C4F8AA">
      <w:start w:val="1"/>
      <w:numFmt w:val="decimal"/>
      <w:lvlText w:val="%1)"/>
      <w:lvlJc w:val="left"/>
      <w:pPr>
        <w:ind w:left="496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FD05DE6">
      <w:numFmt w:val="bullet"/>
      <w:lvlText w:val="•"/>
      <w:lvlJc w:val="left"/>
      <w:pPr>
        <w:ind w:left="1306" w:hanging="361"/>
      </w:pPr>
      <w:rPr>
        <w:rFonts w:hint="default"/>
      </w:rPr>
    </w:lvl>
    <w:lvl w:ilvl="2" w:tplc="BF2A1E06">
      <w:numFmt w:val="bullet"/>
      <w:lvlText w:val="•"/>
      <w:lvlJc w:val="left"/>
      <w:pPr>
        <w:ind w:left="2112" w:hanging="361"/>
      </w:pPr>
      <w:rPr>
        <w:rFonts w:hint="default"/>
      </w:rPr>
    </w:lvl>
    <w:lvl w:ilvl="3" w:tplc="13C84772">
      <w:numFmt w:val="bullet"/>
      <w:lvlText w:val="•"/>
      <w:lvlJc w:val="left"/>
      <w:pPr>
        <w:ind w:left="2918" w:hanging="361"/>
      </w:pPr>
      <w:rPr>
        <w:rFonts w:hint="default"/>
      </w:rPr>
    </w:lvl>
    <w:lvl w:ilvl="4" w:tplc="5AD61FE0">
      <w:numFmt w:val="bullet"/>
      <w:lvlText w:val="•"/>
      <w:lvlJc w:val="left"/>
      <w:pPr>
        <w:ind w:left="3724" w:hanging="361"/>
      </w:pPr>
      <w:rPr>
        <w:rFonts w:hint="default"/>
      </w:rPr>
    </w:lvl>
    <w:lvl w:ilvl="5" w:tplc="21BECE34">
      <w:numFmt w:val="bullet"/>
      <w:lvlText w:val="•"/>
      <w:lvlJc w:val="left"/>
      <w:pPr>
        <w:ind w:left="4530" w:hanging="361"/>
      </w:pPr>
      <w:rPr>
        <w:rFonts w:hint="default"/>
      </w:rPr>
    </w:lvl>
    <w:lvl w:ilvl="6" w:tplc="206C2582">
      <w:numFmt w:val="bullet"/>
      <w:lvlText w:val="•"/>
      <w:lvlJc w:val="left"/>
      <w:pPr>
        <w:ind w:left="5336" w:hanging="361"/>
      </w:pPr>
      <w:rPr>
        <w:rFonts w:hint="default"/>
      </w:rPr>
    </w:lvl>
    <w:lvl w:ilvl="7" w:tplc="79540EDE">
      <w:numFmt w:val="bullet"/>
      <w:lvlText w:val="•"/>
      <w:lvlJc w:val="left"/>
      <w:pPr>
        <w:ind w:left="6142" w:hanging="361"/>
      </w:pPr>
      <w:rPr>
        <w:rFonts w:hint="default"/>
      </w:rPr>
    </w:lvl>
    <w:lvl w:ilvl="8" w:tplc="CF5C973A">
      <w:numFmt w:val="bullet"/>
      <w:lvlText w:val="•"/>
      <w:lvlJc w:val="left"/>
      <w:pPr>
        <w:ind w:left="694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080"/>
    <w:rsid w:val="004C2D11"/>
    <w:rsid w:val="00F2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9D014"/>
  <w15:docId w15:val="{7CB02CD5-906B-3A4A-BD3E-E0C33322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1528" w:right="139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96" w:right="108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Tummelson</cp:lastModifiedBy>
  <cp:revision>2</cp:revision>
  <dcterms:created xsi:type="dcterms:W3CDTF">2021-01-31T15:26:00Z</dcterms:created>
  <dcterms:modified xsi:type="dcterms:W3CDTF">2021-01-31T16:07:00Z</dcterms:modified>
</cp:coreProperties>
</file>