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8" w:lineRule="auto"/>
        <w:ind w:left="130" w:firstLine="0"/>
        <w:jc w:val="center"/>
        <w:rPr>
          <w:b w:val="1"/>
          <w:sz w:val="28"/>
          <w:szCs w:val="28"/>
        </w:rPr>
      </w:pPr>
      <w:r w:rsidDel="00000000" w:rsidR="00000000" w:rsidRPr="00000000">
        <w:rPr>
          <w:b w:val="1"/>
          <w:sz w:val="28"/>
          <w:szCs w:val="28"/>
          <w:rtl w:val="0"/>
        </w:rPr>
        <w:t xml:space="preserve">Agreement for Dominion Storage Solution</w:t>
      </w:r>
    </w:p>
    <w:p w:rsidR="00000000" w:rsidDel="00000000" w:rsidP="00000000" w:rsidRDefault="00000000" w:rsidRPr="00000000" w14:paraId="00000002">
      <w:pPr>
        <w:spacing w:before="68" w:lineRule="auto"/>
        <w:ind w:left="130" w:firstLine="0"/>
        <w:jc w:val="center"/>
        <w:rPr>
          <w:b w:val="1"/>
          <w:sz w:val="28"/>
          <w:szCs w:val="28"/>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29" w:line="240" w:lineRule="auto"/>
        <w:ind w:left="130" w:right="12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agreement is between Rio Grande Games, Inc., 18 Santa Ana Loop, Placitas, NM 87043, USA, hereafter LICENSOR, and Matthew Johnson dba Artificer's Lounge, </w:t>
      </w:r>
      <w:r w:rsidDel="00000000" w:rsidR="00000000" w:rsidRPr="00000000">
        <w:rPr>
          <w:rFonts w:ascii="PT Sans" w:cs="PT Sans" w:eastAsia="PT Sans" w:hAnsi="PT Sans"/>
          <w:b w:val="0"/>
          <w:i w:val="0"/>
          <w:smallCaps w:val="0"/>
          <w:strike w:val="0"/>
          <w:color w:val="000000"/>
          <w:sz w:val="21"/>
          <w:szCs w:val="21"/>
          <w:highlight w:val="white"/>
          <w:u w:val="none"/>
          <w:vertAlign w:val="baseline"/>
          <w:rtl w:val="0"/>
        </w:rPr>
        <w:t xml:space="preserve">8030 199th Ave NE, Redmond, WA 98053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thereafter LICENSEE.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130" w:right="12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agreement concerns a storage solution, hereafter known as STORAGE SOLUTION, for the board game known as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Dominion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hereafter GAME. LICENSOR warrants that he is the sole exclusive owner of the GAME, whereupon LICENSEE and LICENSOR agree as follows:</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1"/>
        </w:tabs>
        <w:spacing w:after="0" w:before="117" w:line="240" w:lineRule="auto"/>
        <w:ind w:left="490" w:right="12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LICENSOR grants to LICENSEE a non-exclusive license to produce and sell a STORAGE SOLUTION for the GAME, using graphics from the game to promote and encourage sales of the STORAGE SOLUTION. The license does not include electronic rights.</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1"/>
        </w:tabs>
        <w:spacing w:after="0" w:before="160" w:line="240" w:lineRule="auto"/>
        <w:ind w:left="490" w:right="12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LICENSOR will provide LICENSEE with such files as are reasonably needed for the STORAGE SOLUTION.</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1"/>
        </w:tabs>
        <w:spacing w:after="0" w:before="116" w:line="240" w:lineRule="auto"/>
        <w:ind w:left="490" w:right="12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LICENSOR will be entitled to 2 units of the STORAGE SOLUTION for itself and the designer.</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1"/>
        </w:tabs>
        <w:spacing w:after="0" w:before="116" w:line="240" w:lineRule="auto"/>
        <w:ind w:left="490" w:right="12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LICENSEE will send to LICENSOR quarterly statements of account no later than 30 days after each quarter-end, showing the number of units sold during the quarter. Payment will accompany the quarterly statements. LICENSEE agrees to pay LICENSOR a royalty of 10% of the retail price per STORAGE SOLUTION sold including those units sold prior to the date of this agreement.</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1"/>
        </w:tabs>
        <w:spacing w:after="0" w:before="119" w:line="237" w:lineRule="auto"/>
        <w:ind w:left="490" w:right="12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agreement will come into force on January 29, 2021 and will remain in force, initially, until December 31, 2023, unless LICENSEE discontinues sales of the STORAGE SOLUTION.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1"/>
        </w:tabs>
        <w:spacing w:after="0" w:before="0" w:line="240" w:lineRule="auto"/>
        <w:ind w:left="490" w:right="116"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license granted in this agreement will not be transferred without LICENSOR’s written consent.</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1"/>
        </w:tabs>
        <w:spacing w:after="19" w:before="116" w:line="240" w:lineRule="auto"/>
        <w:ind w:left="490" w:right="12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agreement will be interpreted in accordance with the laws of the UNITED STATES OF AMERICA, state of NEW MEXICO. If any provision of this agreement is waived or declared invalid, this will not affect the validity of the remaining provisions.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5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4450"/>
        </w:tabs>
        <w:spacing w:after="0" w:before="15" w:line="240" w:lineRule="auto"/>
        <w:ind w:left="13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Pr>
        <w:drawing>
          <wp:inline distB="114300" distT="114300" distL="114300" distR="114300">
            <wp:extent cx="2238149" cy="44763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38149" cy="44763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tab/>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450"/>
        </w:tabs>
        <w:spacing w:after="0" w:before="0" w:line="240" w:lineRule="auto"/>
        <w:ind w:left="13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Signed by LICENSEE</w:t>
        <w:tab/>
        <w:t xml:space="preserve">Signed by LICENSOR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776"/>
          <w:tab w:val="left" w:pos="4450"/>
        </w:tabs>
        <w:spacing w:after="0" w:before="116"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Date: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1-29-2021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sectPr>
      <w:pgSz w:h="16840" w:w="11910" w:orient="portrait"/>
      <w:pgMar w:bottom="280" w:top="1000" w:left="1680" w:right="16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90" w:hanging="360"/>
      </w:pPr>
      <w:rPr>
        <w:rFonts w:ascii="Arial" w:cs="Arial" w:eastAsia="Arial" w:hAnsi="Arial"/>
        <w:sz w:val="20"/>
        <w:szCs w:val="20"/>
      </w:rPr>
    </w:lvl>
    <w:lvl w:ilvl="1">
      <w:start w:val="1"/>
      <w:numFmt w:val="bullet"/>
      <w:lvlText w:val="•"/>
      <w:lvlJc w:val="left"/>
      <w:pPr>
        <w:ind w:left="1306" w:hanging="360"/>
      </w:pPr>
      <w:rPr/>
    </w:lvl>
    <w:lvl w:ilvl="2">
      <w:start w:val="1"/>
      <w:numFmt w:val="bullet"/>
      <w:lvlText w:val="•"/>
      <w:lvlJc w:val="left"/>
      <w:pPr>
        <w:ind w:left="2113" w:hanging="360"/>
      </w:pPr>
      <w:rPr/>
    </w:lvl>
    <w:lvl w:ilvl="3">
      <w:start w:val="1"/>
      <w:numFmt w:val="bullet"/>
      <w:lvlText w:val="•"/>
      <w:lvlJc w:val="left"/>
      <w:pPr>
        <w:ind w:left="2919" w:hanging="360"/>
      </w:pPr>
      <w:rPr/>
    </w:lvl>
    <w:lvl w:ilvl="4">
      <w:start w:val="1"/>
      <w:numFmt w:val="bullet"/>
      <w:lvlText w:val="•"/>
      <w:lvlJc w:val="left"/>
      <w:pPr>
        <w:ind w:left="3726" w:hanging="360"/>
      </w:pPr>
      <w:rPr/>
    </w:lvl>
    <w:lvl w:ilvl="5">
      <w:start w:val="1"/>
      <w:numFmt w:val="bullet"/>
      <w:lvlText w:val="•"/>
      <w:lvlJc w:val="left"/>
      <w:pPr>
        <w:ind w:left="4532" w:hanging="360"/>
      </w:pPr>
      <w:rPr/>
    </w:lvl>
    <w:lvl w:ilvl="6">
      <w:start w:val="1"/>
      <w:numFmt w:val="bullet"/>
      <w:lvlText w:val="•"/>
      <w:lvlJc w:val="left"/>
      <w:pPr>
        <w:ind w:left="5339" w:hanging="360"/>
      </w:pPr>
      <w:rPr/>
    </w:lvl>
    <w:lvl w:ilvl="7">
      <w:start w:val="1"/>
      <w:numFmt w:val="bullet"/>
      <w:lvlText w:val="•"/>
      <w:lvlJc w:val="left"/>
      <w:pPr>
        <w:ind w:left="6145" w:hanging="360"/>
      </w:pPr>
      <w:rPr/>
    </w:lvl>
    <w:lvl w:ilvl="8">
      <w:start w:val="1"/>
      <w:numFmt w:val="bullet"/>
      <w:lvlText w:val="•"/>
      <w:lvlJc w:val="left"/>
      <w:pPr>
        <w:ind w:left="695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ListParagraph">
    <w:name w:val="List Paragraph"/>
    <w:basedOn w:val="Normal"/>
    <w:uiPriority w:val="1"/>
    <w:qFormat w:val="1"/>
    <w:pPr>
      <w:spacing w:before="116"/>
      <w:ind w:left="490" w:right="123" w:hanging="360"/>
      <w:jc w:val="both"/>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F/ugh8bm9jHbCJaSHS1tNTWUCw==">AMUW2mWWhetEh9dqrT8A0RcqkY9GZQt4XHlY1Ca55SoiBkNsz8AapCZavDjPQhRRjeDQki8E12O+7Q5ixu++gYeNYMKYvQD4fba8VhUMrm17BvDna4Ge59M=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2021-01-29T16:48:00Z</dcterms:created>
</cp:coreProperties>
</file>