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A6CD" w14:textId="1706D4FD" w:rsidR="004D2BFB" w:rsidRPr="004A15FF" w:rsidRDefault="004D2BFB" w:rsidP="00DD0254">
      <w:pPr>
        <w:pStyle w:val="Title"/>
      </w:pPr>
      <w:bookmarkStart w:id="0" w:name="project-title"/>
      <w:r w:rsidRPr="004A15FF">
        <w:t>Worker Power in Construction Unions: Pre-Hire Agreements and Class Collaboration</w:t>
      </w:r>
    </w:p>
    <w:bookmarkEnd w:id="0"/>
    <w:p w14:paraId="2C11476C" w14:textId="77777777" w:rsidR="004D2BFB" w:rsidRPr="00132DB1" w:rsidRDefault="004D2BFB" w:rsidP="002156B8">
      <w:pPr>
        <w:pStyle w:val="BodyText"/>
      </w:pPr>
      <w:r w:rsidRPr="00132DB1">
        <w:t xml:space="preserve">This project explores the organizing approaches of construction unions in the United States and their implications for the </w:t>
      </w:r>
      <w:r w:rsidRPr="002156B8">
        <w:t>labor</w:t>
      </w:r>
      <w:r w:rsidRPr="00132DB1">
        <w:t xml:space="preserve"> movement. It examines how construction unions, with their ability to establish voluntary pre-hire agreements with employers, are inclined to wield their power in a much more conservative manner than other unions. Through a historical approach, the study analyzes power dynamics and the ideological orientation within construction unions. A comparative analysis with craft unions, like the Machinists, will be conducted, alongside an exploration of the relationship between construction unions and progressive, socialist, environmental, and broader labor movements. The research also compares construction unions vis-à-vis unions, like the Oil, Chemical, and Atomic Workers, which had contentious relations with employers and never reached the status of junior partner in the employer-union relationship. By shedding light on these differences, the study aims to provide insights into the unique dynamics of construction unions and their alignment (or lack thereof) with working-class interests and progressive movements.</w:t>
      </w:r>
    </w:p>
    <w:p w14:paraId="2DEDCC0F" w14:textId="77777777" w:rsidR="004D2BFB" w:rsidRPr="00132DB1" w:rsidRDefault="004D2BFB" w:rsidP="002156B8">
      <w:pPr>
        <w:pStyle w:val="BodyText"/>
      </w:pPr>
      <w:r w:rsidRPr="00132DB1">
        <w:t xml:space="preserve">This is an important question to investigate because of the many rifts within organized labor. For example, during the fight over the Dakota Access Pipeline, many of the construction unions were on the side of the petrochemical companies who wanted to build an underground pipeline to transport crude oil from North Dakota to Illinois, while other unions wanted to stop its construction and advocated for a transition to a “planned and regulated green economy” </w:t>
      </w:r>
      <w:r w:rsidRPr="00132DB1">
        <w:fldChar w:fldCharType="begin"/>
      </w:r>
      <w:r w:rsidRPr="00132DB1">
        <w:instrText xml:space="preserve"> ADDIN ZOTERO_ITEM CSL_CITATION {"citationID":"LonNPoF1","properties":{"formattedCitation":"(Dudzic 2017)","plainCitation":"(Dudzic 2017)","noteIndex":0},"citationItems":[{"id":3200,"uris":["http://zotero.org/users/2352454/items/D6PT4PY6"],"itemData":{"id":3200,"type":"article-journal","container-title":"New Labor Forum","DOI":"10.1177/1095796017700591","ISSN":"1095-7960","issue":"2","note":"publisher: SAGE Publications Inc","page":"11-15","title":"The AFL-CIO “On the Beach”","volume":"26","author":[{"family":"Dudzic","given":"Mark"}],"issued":{"date-parts":[["2017",5,1]]}}}],"schema":"https://github.com/citation-style-language/schema/raw/master/csl-citation.json"} </w:instrText>
      </w:r>
      <w:r w:rsidRPr="00132DB1">
        <w:fldChar w:fldCharType="separate"/>
      </w:r>
      <w:r w:rsidRPr="00132DB1">
        <w:t>(Dudzic 2017)</w:t>
      </w:r>
      <w:r w:rsidRPr="00132DB1">
        <w:fldChar w:fldCharType="end"/>
      </w:r>
      <w:r w:rsidRPr="00132DB1">
        <w:t xml:space="preserve">. That is, the former saw the future “linked to a partnership with capital” in an extractive economy, while the latter wanted to transition away from that economy </w:t>
      </w:r>
      <w:r w:rsidRPr="00132DB1">
        <w:fldChar w:fldCharType="begin"/>
      </w:r>
      <w:r w:rsidRPr="00132DB1">
        <w:instrText xml:space="preserve"> ADDIN ZOTERO_ITEM CSL_CITATION {"citationID":"O1bTU2LH","properties":{"formattedCitation":"(Dudzic 2017)","plainCitation":"(Dudzic 2017)","noteIndex":0},"citationItems":[{"id":3200,"uris":["http://zotero.org/users/2352454/items/D6PT4PY6"],"itemData":{"id":3200,"type":"article-journal","container-title":"New Labor Forum","DOI":"10.1177/1095796017700591","ISSN":"1095-7960","issue":"2","note":"publisher: SAGE Publications Inc","page":"11-15","title":"The AFL-CIO “On the Beach”","volume":"26","author":[{"family":"Dudzic","given":"Mark"}],"issued":{"date-parts":[["2017",5,1]]}}}],"schema":"https://github.com/citation-style-language/schema/raw/master/csl-citation.json"} </w:instrText>
      </w:r>
      <w:r w:rsidRPr="00132DB1">
        <w:fldChar w:fldCharType="separate"/>
      </w:r>
      <w:r w:rsidRPr="00132DB1">
        <w:t>(Dudzic 2017)</w:t>
      </w:r>
      <w:r w:rsidRPr="00132DB1">
        <w:fldChar w:fldCharType="end"/>
      </w:r>
      <w:r w:rsidRPr="00132DB1">
        <w:t>.</w:t>
      </w:r>
    </w:p>
    <w:p w14:paraId="16BA27EB" w14:textId="77777777" w:rsidR="004D2BFB" w:rsidRPr="00132DB1" w:rsidRDefault="004D2BFB" w:rsidP="002156B8">
      <w:pPr>
        <w:pStyle w:val="BodyText"/>
      </w:pPr>
      <w:r w:rsidRPr="00132DB1">
        <w:t xml:space="preserve">Similarly, there have been other fights around the privatization of part of the Port of Oakland to build a new stadium for the Oakland Athletics. The construction unions supported the </w:t>
      </w:r>
      <w:r w:rsidRPr="00132DB1">
        <w:lastRenderedPageBreak/>
        <w:t xml:space="preserve">project because it would create jobs for their members </w:t>
      </w:r>
      <w:r w:rsidRPr="00132DB1">
        <w:fldChar w:fldCharType="begin"/>
      </w:r>
      <w:r w:rsidRPr="00132DB1">
        <w:instrText xml:space="preserve"> ADDIN ZOTERO_ITEM CSL_CITATION {"citationID":"H1lxAJK1","properties":{"formattedCitation":"(IUPAT DC-16 2021)","plainCitation":"(IUPAT DC-16 2021)","noteIndex":0},"citationItems":[{"id":3067,"uris":["http://zotero.org/users/2352454/items/NCSE4N6U"],"itemData":{"id":3067,"type":"post-weblog","container-title":"IUPAT DC-16 Painters and Allied Trades","language":"en-US","title":"Help the Oakland A’s!","URL":"https://www.dc16iupat.org/help-the-oakland-as/","author":[{"family":"IUPAT DC-16","given":""}],"accessed":{"date-parts":[["2023",6,15]]},"issued":{"date-parts":[["2021",7,15]]}}}],"schema":"https://github.com/citation-style-language/schema/raw/master/csl-citation.json"} </w:instrText>
      </w:r>
      <w:r w:rsidRPr="00132DB1">
        <w:fldChar w:fldCharType="separate"/>
      </w:r>
      <w:r w:rsidRPr="00132DB1">
        <w:t>(IUPAT DC-16 2021)</w:t>
      </w:r>
      <w:r w:rsidRPr="00132DB1">
        <w:fldChar w:fldCharType="end"/>
      </w:r>
      <w:r w:rsidRPr="00132DB1">
        <w:t xml:space="preserve">, while many others, including the Longshore Workers, opposed it because they saw it as a privatization scheme that would also fuel gentrification </w:t>
      </w:r>
      <w:r w:rsidRPr="00132DB1">
        <w:fldChar w:fldCharType="begin"/>
      </w:r>
      <w:r w:rsidRPr="00132DB1">
        <w:instrText xml:space="preserve"> ADDIN ZOTERO_ITEM CSL_CITATION {"citationID":"rKVnOWLF","properties":{"formattedCitation":"(ILWU 2022)","plainCitation":"(ILWU 2022)","noteIndex":0},"citationItems":[{"id":3065,"uris":["http://zotero.org/users/2352454/items/JKXDNK64"],"itemData":{"id":3065,"type":"post-weblog","container-title":"International Longshore and Warehouse Union","language":"en-US","title":"Longshore workers, Oakland Educators rally to save port jobs, public schools","URL":"https://www.ilwu.org/longshore-workers-oakland-educators-rally-to-save-port-jobs-public-schools/","author":[{"family":"ILWU","given":""}],"accessed":{"date-parts":[["2023",6,15]]},"issued":{"date-parts":[["2022",3,14]]}}}],"schema":"https://github.com/citation-style-language/schema/raw/master/csl-citation.json"} </w:instrText>
      </w:r>
      <w:r w:rsidRPr="00132DB1">
        <w:fldChar w:fldCharType="separate"/>
      </w:r>
      <w:r w:rsidRPr="00132DB1">
        <w:t>(ILWU 2022)</w:t>
      </w:r>
      <w:r w:rsidRPr="00132DB1">
        <w:fldChar w:fldCharType="end"/>
      </w:r>
      <w:r w:rsidRPr="00132DB1">
        <w:t>.</w:t>
      </w:r>
    </w:p>
    <w:p w14:paraId="7E9A10A3" w14:textId="77777777" w:rsidR="004D2BFB" w:rsidRPr="00132DB1" w:rsidRDefault="004D2BFB" w:rsidP="002156B8">
      <w:pPr>
        <w:pStyle w:val="Heading1"/>
        <w:spacing w:line="480" w:lineRule="auto"/>
      </w:pPr>
      <w:r w:rsidRPr="00132DB1">
        <w:t>Implementation &amp; Literature Review</w:t>
      </w:r>
    </w:p>
    <w:p w14:paraId="777D307D" w14:textId="77777777" w:rsidR="004D2BFB" w:rsidRPr="00132DB1" w:rsidRDefault="004D2BFB" w:rsidP="002156B8">
      <w:pPr>
        <w:pStyle w:val="BodyText"/>
      </w:pPr>
      <w:r w:rsidRPr="00132DB1">
        <w:t xml:space="preserve">Most social science literature has not considered the impact of pre-hire agreements specifically. Ample literature has considered the differences between craft unionism and industrial unionism. The former has been described as primarily concerned with “the protection of the interests of the skilled minority,” while the latter is more expansive in its aims to organize the unskilled across entire industries </w:t>
      </w:r>
      <w:r w:rsidRPr="00132DB1">
        <w:fldChar w:fldCharType="begin"/>
      </w:r>
      <w:r w:rsidRPr="00132DB1">
        <w:instrText xml:space="preserve"> ADDIN ZOTERO_ITEM CSL_CITATION {"citationID":"H0Wy0VI2","properties":{"formattedCitation":"(Foner 1977:197)","plainCitation":"(Foner 1977:197)","noteIndex":0},"citationItems":[{"id":3197,"uris":["http://zotero.org/users/2352454/items/ZQ44J9NX"],"itemData":{"id":3197,"type":"book","collection-number":"389","collection-title":"New world paperbacks","edition":"3. print","event-place":"New York","ISBN":"978-0-7178-0093-3","language":"eng","number-of-pages":"477","publisher":"Internat. Publ","publisher-place":"New York","source":"K10plus ISBN","title":"History of the labor movement in the United States. 3: The policies and practices of the American Federation of Labor, 1900-1909","title-short":"History of the labor movement in the United States. 3","author":[{"family":"Foner","given":"Philip Sheldon"}],"issued":{"date-parts":[["1977"]]}},"locator":"197","label":"page"}],"schema":"https://github.com/citation-style-language/schema/raw/master/csl-citation.json"} </w:instrText>
      </w:r>
      <w:r w:rsidRPr="00132DB1">
        <w:fldChar w:fldCharType="separate"/>
      </w:r>
      <w:r w:rsidRPr="00132DB1">
        <w:t>(Foner 1977:197)</w:t>
      </w:r>
      <w:r w:rsidRPr="00132DB1">
        <w:fldChar w:fldCharType="end"/>
      </w:r>
      <w:r w:rsidRPr="00132DB1">
        <w:t xml:space="preserve">. The differences between these modes of unionism and the tensions between them, heightened in the 1930s and eventually led to a segment of the American Federation of Labor (which had been a craft union federation) to split off to form an industrial union oriented federation, the Congress of Industrial Organizations </w:t>
      </w:r>
      <w:r w:rsidRPr="00132DB1">
        <w:fldChar w:fldCharType="begin"/>
      </w:r>
      <w:r w:rsidRPr="00132DB1">
        <w:instrText xml:space="preserve"> ADDIN ZOTERO_ITEM CSL_CITATION {"citationID":"5aM92Rj6","properties":{"formattedCitation":"(Kazin 1998:139)","plainCitation":"(Kazin 1998:139)","noteIndex":0},"citationItems":[{"id":3071,"uris":["http://zotero.org/users/2352454/items/FC6PVJAX"],"itemData":{"id":3071,"type":"book","edition":"1","ISBN":"978-0-8014-8558-9","publisher":"Cornell University Press","source":"Library Genesis","title":"The Populist Persuasion: An American History","title-short":"The Populist Persuasion","URL":"http://gen.lib.rus.ec/book/index.php?md5=729bcae6d119261d4d54db8a36548be4","author":[{"family":"Kazin","given":"Michael"}],"accessed":{"date-parts":[["2023",6,16]]},"issued":{"date-parts":[["1998"]]}},"locator":"139","label":"page"}],"schema":"https://github.com/citation-style-language/schema/raw/master/csl-citation.json"} </w:instrText>
      </w:r>
      <w:r w:rsidRPr="00132DB1">
        <w:fldChar w:fldCharType="separate"/>
      </w:r>
      <w:r w:rsidRPr="00132DB1">
        <w:t>(Kazin 1998:139)</w:t>
      </w:r>
      <w:r w:rsidRPr="00132DB1">
        <w:fldChar w:fldCharType="end"/>
      </w:r>
      <w:r w:rsidRPr="00132DB1">
        <w:t>. Many labor historians have examined how these different approaches to union organizing have led to conflicts in terms of union vision and ideology. However, I believe that the conservative nature of pre-hire agreements adds an additional layer, as it were, of conservativism to an already conservative craft unionism.</w:t>
      </w:r>
    </w:p>
    <w:p w14:paraId="18BA29F7" w14:textId="77777777" w:rsidR="004D2BFB" w:rsidRPr="00132DB1" w:rsidRDefault="004D2BFB" w:rsidP="002156B8">
      <w:pPr>
        <w:pStyle w:val="BodyText"/>
      </w:pPr>
      <w:r w:rsidRPr="00132DB1">
        <w:t xml:space="preserve">Law review articles have been the most informative for understanding the peculiarities of pre-hire agreements. They explain how construction unions had been operating using these sorts of agreements long before Congress officially legalized them </w:t>
      </w:r>
      <w:r w:rsidRPr="00132DB1">
        <w:fldChar w:fldCharType="begin"/>
      </w:r>
      <w:r w:rsidRPr="00132DB1">
        <w:instrText xml:space="preserve"> ADDIN ZOTERO_ITEM CSL_CITATION {"citationID":"UZh4c3LM","properties":{"formattedCitation":"(Murphy 1982)","plainCitation":"(Murphy 1982)","noteIndex":0},"citationItems":[{"id":3087,"uris":["http://zotero.org/users/2352454/items/9UPPYKG6"],"itemData":{"id":3087,"type":"article-journal","container-title":"Fordham Law Review","issue":"5","page":"1014","title":"Pre-Hire Agreements and Section 8(f) of the NLRA:  Striking a Proper Balance Between Employee Freedom of Choice and Construction Industry Stability","title-short":"Pre-Hire Agreements and Section 8(f) of the NLRA","volume":"50","author":[{"family":"Murphy","given":"Richard"}],"issued":{"date-parts":[["1982",1,1]]}}}],"schema":"https://github.com/citation-style-language/schema/raw/master/csl-citation.json"} </w:instrText>
      </w:r>
      <w:r w:rsidRPr="00132DB1">
        <w:fldChar w:fldCharType="separate"/>
      </w:r>
      <w:r w:rsidRPr="00132DB1">
        <w:t>(Murphy 1982)</w:t>
      </w:r>
      <w:r w:rsidRPr="00132DB1">
        <w:fldChar w:fldCharType="end"/>
      </w:r>
      <w:r w:rsidRPr="00132DB1">
        <w:t>. Though I am not primarily interested in legal questions, these articles provide the clearest history of pre-hire agreements situated in their historical context.</w:t>
      </w:r>
    </w:p>
    <w:p w14:paraId="38E8BAA1" w14:textId="77777777" w:rsidR="004D2BFB" w:rsidRPr="00132DB1" w:rsidRDefault="004D2BFB" w:rsidP="002156B8">
      <w:pPr>
        <w:pStyle w:val="Heading1"/>
        <w:spacing w:line="480" w:lineRule="auto"/>
      </w:pPr>
      <w:r w:rsidRPr="00132DB1">
        <w:lastRenderedPageBreak/>
        <w:t>Design</w:t>
      </w:r>
    </w:p>
    <w:p w14:paraId="534C7A6B" w14:textId="77777777" w:rsidR="004D2BFB" w:rsidRPr="002C3846" w:rsidRDefault="004D2BFB" w:rsidP="00BA4547">
      <w:pPr>
        <w:pStyle w:val="BodyText"/>
      </w:pPr>
      <w:r w:rsidRPr="002C3846">
        <w:t>This project will employ a historical approach by looking at legal documents, court cases, and congressional records to understand the context in which pre-hire agreements emerged. In particular, it will look at how the emergence of the pre-hire agreement as a legal institution was a response to available avenues of exercising power within particular constraints, legal or otherwise. Examining the context in which these institutions emerged, and their attendant ideologies could help make sense of how construction unions are situated in relation to other unions and progressive movements in the present.</w:t>
      </w:r>
    </w:p>
    <w:p w14:paraId="117E05EE" w14:textId="39F0A798" w:rsidR="005233D7" w:rsidRDefault="004D2BFB" w:rsidP="005233D7">
      <w:pPr>
        <w:pStyle w:val="BodyText"/>
      </w:pPr>
      <w:r w:rsidRPr="00132DB1">
        <w:t>A comparative historical approach will look at how construction unions (organized as craft unions with pre-hire agreements) have organized differently than other craft unions, such as the International Association of Machinists, which do not use pre-hire agreements. Lastly, looking historically and comparatively at unions that have never reached the position of junior partners to capitalists vis-à-vis construction unions would be interesting. This historical comparative research would help sociologists and labor historians better understand the dynamics fueling the rifts that we’ve seen within the labor movement and between the building trades and environmental organizations.</w:t>
      </w:r>
    </w:p>
    <w:p w14:paraId="034FCB2F" w14:textId="27328C03" w:rsidR="005233D7" w:rsidRDefault="005233D7">
      <w:pPr>
        <w:spacing w:after="0"/>
        <w:ind w:firstLine="720"/>
        <w:rPr>
          <w:rFonts w:ascii="Times New Roman" w:hAnsi="Times New Roman" w:cs="Times New Roman"/>
        </w:rPr>
      </w:pPr>
      <w:r>
        <w:br w:type="page"/>
      </w:r>
    </w:p>
    <w:p w14:paraId="593222F0" w14:textId="053FACFE" w:rsidR="005233D7" w:rsidRDefault="005233D7" w:rsidP="005233D7">
      <w:pPr>
        <w:pStyle w:val="Heading1"/>
      </w:pPr>
      <w:r>
        <w:lastRenderedPageBreak/>
        <w:t>Bibliography</w:t>
      </w:r>
    </w:p>
    <w:p w14:paraId="6CE88846" w14:textId="77777777" w:rsidR="002A7AB9" w:rsidRPr="002A7AB9" w:rsidRDefault="002A7AB9" w:rsidP="002A7AB9"/>
    <w:p w14:paraId="474736DF"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fldChar w:fldCharType="begin"/>
      </w:r>
      <w:r w:rsidRPr="000F7F25">
        <w:rPr>
          <w:rFonts w:ascii="Times New Roman" w:hAnsi="Times New Roman" w:cs="Times New Roman"/>
        </w:rPr>
        <w:instrText xml:space="preserve"> ADDIN ZOTERO_BIBL {"uncited":[],"omitted":[],"custom":[]} CSL_BIBLIOGRAPHY </w:instrText>
      </w:r>
      <w:r w:rsidRPr="000F7F25">
        <w:rPr>
          <w:rFonts w:ascii="Times New Roman" w:hAnsi="Times New Roman" w:cs="Times New Roman"/>
        </w:rPr>
        <w:fldChar w:fldCharType="separate"/>
      </w:r>
      <w:r w:rsidRPr="000F7F25">
        <w:rPr>
          <w:rFonts w:ascii="Times New Roman" w:hAnsi="Times New Roman" w:cs="Times New Roman"/>
        </w:rPr>
        <w:t xml:space="preserve">Dudzic, Mark. 2017. “The AFL-CIO ‘On the Beach.’” </w:t>
      </w:r>
      <w:r w:rsidRPr="000F7F25">
        <w:rPr>
          <w:rFonts w:ascii="Times New Roman" w:hAnsi="Times New Roman" w:cs="Times New Roman"/>
          <w:i/>
          <w:iCs/>
        </w:rPr>
        <w:t>New Labor Forum</w:t>
      </w:r>
      <w:r w:rsidRPr="000F7F25">
        <w:rPr>
          <w:rFonts w:ascii="Times New Roman" w:hAnsi="Times New Roman" w:cs="Times New Roman"/>
        </w:rPr>
        <w:t xml:space="preserve"> 26(2):11–15. </w:t>
      </w:r>
      <w:proofErr w:type="spellStart"/>
      <w:r w:rsidRPr="000F7F25">
        <w:rPr>
          <w:rFonts w:ascii="Times New Roman" w:hAnsi="Times New Roman" w:cs="Times New Roman"/>
        </w:rPr>
        <w:t>doi</w:t>
      </w:r>
      <w:proofErr w:type="spellEnd"/>
      <w:r w:rsidRPr="000F7F25">
        <w:rPr>
          <w:rFonts w:ascii="Times New Roman" w:hAnsi="Times New Roman" w:cs="Times New Roman"/>
        </w:rPr>
        <w:t>: 10.1177/1095796017700591.</w:t>
      </w:r>
    </w:p>
    <w:p w14:paraId="1210E1CE"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t xml:space="preserve">Foner, Philip Sheldon. 1977. </w:t>
      </w:r>
      <w:r w:rsidRPr="000F7F25">
        <w:rPr>
          <w:rFonts w:ascii="Times New Roman" w:hAnsi="Times New Roman" w:cs="Times New Roman"/>
          <w:i/>
          <w:iCs/>
        </w:rPr>
        <w:t>History of the Labor Movement in the United States. 3: The Policies and Practices of the American Federation of Labor, 1900-1909</w:t>
      </w:r>
      <w:r w:rsidRPr="000F7F25">
        <w:rPr>
          <w:rFonts w:ascii="Times New Roman" w:hAnsi="Times New Roman" w:cs="Times New Roman"/>
        </w:rPr>
        <w:t xml:space="preserve">. 3. print. New York: </w:t>
      </w:r>
      <w:proofErr w:type="spellStart"/>
      <w:r w:rsidRPr="000F7F25">
        <w:rPr>
          <w:rFonts w:ascii="Times New Roman" w:hAnsi="Times New Roman" w:cs="Times New Roman"/>
        </w:rPr>
        <w:t>Internat.</w:t>
      </w:r>
      <w:proofErr w:type="spellEnd"/>
      <w:r w:rsidRPr="000F7F25">
        <w:rPr>
          <w:rFonts w:ascii="Times New Roman" w:hAnsi="Times New Roman" w:cs="Times New Roman"/>
        </w:rPr>
        <w:t xml:space="preserve"> Publ.</w:t>
      </w:r>
    </w:p>
    <w:p w14:paraId="2CB358AE"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t xml:space="preserve">ILWU. 2022. “Longshore Workers, Oakland Educators Rally to Save Port Jobs, Public Schools.” </w:t>
      </w:r>
      <w:r w:rsidRPr="000F7F25">
        <w:rPr>
          <w:rFonts w:ascii="Times New Roman" w:hAnsi="Times New Roman" w:cs="Times New Roman"/>
          <w:i/>
          <w:iCs/>
        </w:rPr>
        <w:t>International Longshore and Warehouse Union</w:t>
      </w:r>
      <w:r w:rsidRPr="000F7F25">
        <w:rPr>
          <w:rFonts w:ascii="Times New Roman" w:hAnsi="Times New Roman" w:cs="Times New Roman"/>
        </w:rPr>
        <w:t>. Retrieved June 15, 2023 (https://www.ilwu.org/longshore-workers-oakland-educators-rally-to-save-port-jobs-public-schools/).</w:t>
      </w:r>
    </w:p>
    <w:p w14:paraId="775DD191"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t xml:space="preserve">IUPAT DC-16. 2021. “Help the Oakland A’s!” </w:t>
      </w:r>
      <w:r w:rsidRPr="000F7F25">
        <w:rPr>
          <w:rFonts w:ascii="Times New Roman" w:hAnsi="Times New Roman" w:cs="Times New Roman"/>
          <w:i/>
          <w:iCs/>
        </w:rPr>
        <w:t>IUPAT DC-16 Painters and Allied Trades</w:t>
      </w:r>
      <w:r w:rsidRPr="000F7F25">
        <w:rPr>
          <w:rFonts w:ascii="Times New Roman" w:hAnsi="Times New Roman" w:cs="Times New Roman"/>
        </w:rPr>
        <w:t>. Retrieved June 15, 2023 (https://www.dc16iupat.org/help-the-oakland-as/).</w:t>
      </w:r>
    </w:p>
    <w:p w14:paraId="653D9704"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t xml:space="preserve">Kazin, Michael. 1998. </w:t>
      </w:r>
      <w:r w:rsidRPr="000F7F25">
        <w:rPr>
          <w:rFonts w:ascii="Times New Roman" w:hAnsi="Times New Roman" w:cs="Times New Roman"/>
          <w:i/>
          <w:iCs/>
        </w:rPr>
        <w:t>The Populist Persuasion: An American History</w:t>
      </w:r>
      <w:r w:rsidRPr="000F7F25">
        <w:rPr>
          <w:rFonts w:ascii="Times New Roman" w:hAnsi="Times New Roman" w:cs="Times New Roman"/>
        </w:rPr>
        <w:t>. 1st ed. Cornell University Press.</w:t>
      </w:r>
    </w:p>
    <w:p w14:paraId="06D771AA" w14:textId="77777777" w:rsidR="000F7F25" w:rsidRPr="000F7F25" w:rsidRDefault="000F7F25" w:rsidP="000F7F25">
      <w:pPr>
        <w:pStyle w:val="Bibliography"/>
        <w:ind w:left="720" w:hanging="720"/>
        <w:rPr>
          <w:rFonts w:ascii="Times New Roman" w:hAnsi="Times New Roman" w:cs="Times New Roman"/>
        </w:rPr>
      </w:pPr>
      <w:r w:rsidRPr="000F7F25">
        <w:rPr>
          <w:rFonts w:ascii="Times New Roman" w:hAnsi="Times New Roman" w:cs="Times New Roman"/>
        </w:rPr>
        <w:t xml:space="preserve">Murphy, Richard. 1982. “Pre-Hire Agreements and Section 8(f) of the NLRA:  Striking a Proper Balance Between Employee Freedom of Choice and Construction Industry Stability.” </w:t>
      </w:r>
      <w:r w:rsidRPr="000F7F25">
        <w:rPr>
          <w:rFonts w:ascii="Times New Roman" w:hAnsi="Times New Roman" w:cs="Times New Roman"/>
          <w:i/>
          <w:iCs/>
        </w:rPr>
        <w:t>Fordham Law Review</w:t>
      </w:r>
      <w:r w:rsidRPr="000F7F25">
        <w:rPr>
          <w:rFonts w:ascii="Times New Roman" w:hAnsi="Times New Roman" w:cs="Times New Roman"/>
        </w:rPr>
        <w:t xml:space="preserve"> 50(5):1014.</w:t>
      </w:r>
    </w:p>
    <w:p w14:paraId="48724E58" w14:textId="123027E1" w:rsidR="005233D7" w:rsidRPr="005233D7" w:rsidRDefault="000F7F25" w:rsidP="000F7F25">
      <w:pPr>
        <w:pStyle w:val="Bibliography"/>
        <w:ind w:left="720" w:hanging="720"/>
      </w:pPr>
      <w:r w:rsidRPr="000F7F25">
        <w:rPr>
          <w:rFonts w:ascii="Times New Roman" w:hAnsi="Times New Roman" w:cs="Times New Roman"/>
        </w:rPr>
        <w:fldChar w:fldCharType="end"/>
      </w:r>
    </w:p>
    <w:sectPr w:rsidR="005233D7" w:rsidRPr="005233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1BC5" w14:textId="77777777" w:rsidR="00CE1E0E" w:rsidRDefault="00CE1E0E" w:rsidP="0048721B">
      <w:pPr>
        <w:spacing w:after="0"/>
      </w:pPr>
      <w:r>
        <w:separator/>
      </w:r>
    </w:p>
  </w:endnote>
  <w:endnote w:type="continuationSeparator" w:id="0">
    <w:p w14:paraId="7A282071" w14:textId="77777777" w:rsidR="00CE1E0E" w:rsidRDefault="00CE1E0E" w:rsidP="004872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4A23" w14:textId="77777777" w:rsidR="00CE1E0E" w:rsidRDefault="00CE1E0E" w:rsidP="0048721B">
      <w:pPr>
        <w:spacing w:after="0"/>
      </w:pPr>
      <w:r>
        <w:separator/>
      </w:r>
    </w:p>
  </w:footnote>
  <w:footnote w:type="continuationSeparator" w:id="0">
    <w:p w14:paraId="25A40F95" w14:textId="77777777" w:rsidR="00CE1E0E" w:rsidRDefault="00CE1E0E" w:rsidP="004872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7256" w14:textId="47E7AFA4" w:rsidR="0048721B" w:rsidRDefault="002D4008">
    <w:pPr>
      <w:pStyle w:val="Header"/>
      <w:jc w:val="right"/>
    </w:pPr>
    <w:r w:rsidRPr="002D4008">
      <w:rPr>
        <w:rFonts w:ascii="Times New Roman" w:hAnsi="Times New Roman" w:cs="Times New Roman"/>
      </w:rPr>
      <w:t>Carson</w:t>
    </w:r>
    <w:r>
      <w:t xml:space="preserve"> </w:t>
    </w:r>
    <w:sdt>
      <w:sdtPr>
        <w:id w:val="190885783"/>
        <w:docPartObj>
          <w:docPartGallery w:val="Page Numbers (Top of Page)"/>
          <w:docPartUnique/>
        </w:docPartObj>
      </w:sdtPr>
      <w:sdtEndPr>
        <w:rPr>
          <w:rFonts w:ascii="Times New Roman" w:hAnsi="Times New Roman" w:cs="Times New Roman"/>
          <w:noProof/>
        </w:rPr>
      </w:sdtEndPr>
      <w:sdtContent>
        <w:r w:rsidR="0048721B">
          <w:fldChar w:fldCharType="begin"/>
        </w:r>
        <w:r w:rsidR="0048721B">
          <w:instrText xml:space="preserve"> PAGE   \* MERGEFORMAT </w:instrText>
        </w:r>
        <w:r w:rsidR="0048721B">
          <w:fldChar w:fldCharType="separate"/>
        </w:r>
        <w:r w:rsidR="0048721B">
          <w:rPr>
            <w:noProof/>
          </w:rPr>
          <w:t>2</w:t>
        </w:r>
        <w:r w:rsidR="0048721B">
          <w:rPr>
            <w:noProof/>
          </w:rPr>
          <w:fldChar w:fldCharType="end"/>
        </w:r>
      </w:sdtContent>
    </w:sdt>
  </w:p>
  <w:p w14:paraId="49CABB68" w14:textId="77777777" w:rsidR="0048721B" w:rsidRDefault="00487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91E4E"/>
    <w:multiLevelType w:val="hybridMultilevel"/>
    <w:tmpl w:val="27843734"/>
    <w:lvl w:ilvl="0" w:tplc="1B6A17D2">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831874">
    <w:abstractNumId w:val="0"/>
  </w:num>
  <w:num w:numId="2" w16cid:durableId="100508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FB"/>
    <w:rsid w:val="000558A1"/>
    <w:rsid w:val="000A1DDB"/>
    <w:rsid w:val="000F7F25"/>
    <w:rsid w:val="00132DB1"/>
    <w:rsid w:val="00152A3B"/>
    <w:rsid w:val="001B0BC7"/>
    <w:rsid w:val="002156B8"/>
    <w:rsid w:val="002A7AB9"/>
    <w:rsid w:val="002C3846"/>
    <w:rsid w:val="002D4008"/>
    <w:rsid w:val="002E7CF0"/>
    <w:rsid w:val="00436BA3"/>
    <w:rsid w:val="0048721B"/>
    <w:rsid w:val="004A15FF"/>
    <w:rsid w:val="004D2BFB"/>
    <w:rsid w:val="005233D7"/>
    <w:rsid w:val="00553612"/>
    <w:rsid w:val="005B2F6E"/>
    <w:rsid w:val="005C08B3"/>
    <w:rsid w:val="005F6F34"/>
    <w:rsid w:val="00684BB2"/>
    <w:rsid w:val="00690F2B"/>
    <w:rsid w:val="00977F38"/>
    <w:rsid w:val="009E5A0D"/>
    <w:rsid w:val="00AC0263"/>
    <w:rsid w:val="00B3697E"/>
    <w:rsid w:val="00B37791"/>
    <w:rsid w:val="00B66125"/>
    <w:rsid w:val="00BA4547"/>
    <w:rsid w:val="00BE0758"/>
    <w:rsid w:val="00C67C5E"/>
    <w:rsid w:val="00C84266"/>
    <w:rsid w:val="00CD0D3E"/>
    <w:rsid w:val="00CE1E0E"/>
    <w:rsid w:val="00D22E54"/>
    <w:rsid w:val="00D8288C"/>
    <w:rsid w:val="00DD0254"/>
    <w:rsid w:val="00E12B3F"/>
    <w:rsid w:val="00E704B3"/>
    <w:rsid w:val="00E779C9"/>
    <w:rsid w:val="00EB50A5"/>
    <w:rsid w:val="00F171A7"/>
    <w:rsid w:val="00F833EB"/>
    <w:rsid w:val="00F9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DEB72"/>
  <w15:chartTrackingRefBased/>
  <w15:docId w15:val="{5EE5484D-01FA-4DDF-A59C-0668FA34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FB"/>
    <w:pPr>
      <w:spacing w:after="200"/>
      <w:ind w:firstLine="0"/>
    </w:pPr>
    <w:rPr>
      <w:rFonts w:asciiTheme="minorHAnsi" w:hAnsiTheme="minorHAnsi" w:cstheme="minorBidi"/>
      <w:color w:val="auto"/>
      <w:kern w:val="0"/>
      <w14:ligatures w14:val="none"/>
    </w:rPr>
  </w:style>
  <w:style w:type="paragraph" w:styleId="Heading1">
    <w:name w:val="heading 1"/>
    <w:basedOn w:val="Normal"/>
    <w:next w:val="Normal"/>
    <w:link w:val="Heading1Char"/>
    <w:autoRedefine/>
    <w:uiPriority w:val="9"/>
    <w:qFormat/>
    <w:rsid w:val="002A7AB9"/>
    <w:pPr>
      <w:keepNext/>
      <w:keepLines/>
      <w:spacing w:before="100" w:beforeAutospacing="1" w:after="0"/>
      <w:contextualSpacing/>
      <w:jc w:val="center"/>
      <w:outlineLvl w:val="0"/>
    </w:pPr>
    <w:rPr>
      <w:rFonts w:ascii="Times New Roman" w:eastAsiaTheme="majorEastAsia" w:hAnsi="Times New Roman" w:cs="Times New Roman"/>
      <w:b/>
      <w:kern w:val="2"/>
      <w:szCs w:val="28"/>
      <w14:ligatures w14:val="standardContextual"/>
    </w:rPr>
  </w:style>
  <w:style w:type="paragraph" w:styleId="Heading2">
    <w:name w:val="heading 2"/>
    <w:basedOn w:val="Normal"/>
    <w:next w:val="Normal"/>
    <w:link w:val="Heading2Char"/>
    <w:autoRedefine/>
    <w:uiPriority w:val="9"/>
    <w:unhideWhenUsed/>
    <w:qFormat/>
    <w:rsid w:val="005B2F6E"/>
    <w:pPr>
      <w:keepNext/>
      <w:keepLines/>
      <w:spacing w:before="100" w:beforeAutospacing="1" w:after="100" w:afterAutospacing="1" w:line="276" w:lineRule="auto"/>
      <w:outlineLvl w:val="1"/>
    </w:pPr>
    <w:rPr>
      <w:rFonts w:eastAsiaTheme="majorEastAsia" w:cstheme="minorHAnsi"/>
      <w:b/>
      <w:kern w:val="2"/>
      <w:szCs w:val="26"/>
      <w14:ligatures w14:val="standardContextual"/>
    </w:rPr>
  </w:style>
  <w:style w:type="paragraph" w:styleId="Heading3">
    <w:name w:val="heading 3"/>
    <w:basedOn w:val="Normal"/>
    <w:next w:val="Normal"/>
    <w:link w:val="Heading3Char"/>
    <w:autoRedefine/>
    <w:uiPriority w:val="9"/>
    <w:unhideWhenUsed/>
    <w:qFormat/>
    <w:rsid w:val="001B0BC7"/>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AB9"/>
    <w:rPr>
      <w:rFonts w:eastAsiaTheme="majorEastAsia"/>
      <w:b/>
      <w:color w:val="auto"/>
      <w:szCs w:val="28"/>
    </w:rPr>
  </w:style>
  <w:style w:type="character" w:customStyle="1" w:styleId="Heading2Char">
    <w:name w:val="Heading 2 Char"/>
    <w:basedOn w:val="DefaultParagraphFont"/>
    <w:link w:val="Heading2"/>
    <w:uiPriority w:val="9"/>
    <w:rsid w:val="005B2F6E"/>
    <w:rPr>
      <w:rFonts w:asciiTheme="minorHAnsi" w:eastAsiaTheme="majorEastAsia" w:hAnsiTheme="minorHAnsi" w:cstheme="minorHAnsi"/>
      <w:b/>
      <w:color w:val="auto"/>
      <w:szCs w:val="26"/>
    </w:rPr>
  </w:style>
  <w:style w:type="character" w:customStyle="1" w:styleId="Heading3Char">
    <w:name w:val="Heading 3 Char"/>
    <w:basedOn w:val="DefaultParagraphFont"/>
    <w:link w:val="Heading3"/>
    <w:uiPriority w:val="9"/>
    <w:rsid w:val="001B0BC7"/>
    <w:rPr>
      <w:rFonts w:asciiTheme="majorHAnsi" w:eastAsiaTheme="majorEastAsia" w:hAnsiTheme="majorHAnsi" w:cstheme="majorBidi"/>
      <w:b/>
      <w:color w:val="1F3763" w:themeColor="accent1" w:themeShade="7F"/>
    </w:rPr>
  </w:style>
  <w:style w:type="paragraph" w:styleId="ListParagraph">
    <w:name w:val="List Paragraph"/>
    <w:basedOn w:val="Normal"/>
    <w:autoRedefine/>
    <w:uiPriority w:val="34"/>
    <w:qFormat/>
    <w:rsid w:val="000A1DDB"/>
    <w:pPr>
      <w:numPr>
        <w:numId w:val="2"/>
      </w:numPr>
      <w:contextualSpacing/>
    </w:pPr>
  </w:style>
  <w:style w:type="paragraph" w:styleId="Quote">
    <w:name w:val="Quote"/>
    <w:basedOn w:val="Normal"/>
    <w:next w:val="Normal"/>
    <w:link w:val="QuoteChar"/>
    <w:autoRedefine/>
    <w:uiPriority w:val="29"/>
    <w:qFormat/>
    <w:rsid w:val="00C84266"/>
    <w:pPr>
      <w:spacing w:before="200" w:after="160"/>
      <w:ind w:left="720"/>
    </w:pPr>
    <w:rPr>
      <w:iCs/>
    </w:rPr>
  </w:style>
  <w:style w:type="character" w:customStyle="1" w:styleId="QuoteChar">
    <w:name w:val="Quote Char"/>
    <w:basedOn w:val="DefaultParagraphFont"/>
    <w:link w:val="Quote"/>
    <w:uiPriority w:val="29"/>
    <w:rsid w:val="00C84266"/>
    <w:rPr>
      <w:iCs/>
      <w:color w:val="auto"/>
    </w:rPr>
  </w:style>
  <w:style w:type="paragraph" w:customStyle="1" w:styleId="Hidden">
    <w:name w:val="Hidden"/>
    <w:basedOn w:val="Normal"/>
    <w:link w:val="HiddenChar"/>
    <w:autoRedefine/>
    <w:qFormat/>
    <w:rsid w:val="00BE0758"/>
    <w:pPr>
      <w:spacing w:line="276" w:lineRule="auto"/>
    </w:pPr>
    <w:rPr>
      <w:vanish/>
      <w:shd w:val="clear" w:color="auto" w:fill="FFFFFF"/>
    </w:rPr>
  </w:style>
  <w:style w:type="character" w:customStyle="1" w:styleId="HiddenChar">
    <w:name w:val="Hidden Char"/>
    <w:basedOn w:val="DefaultParagraphFont"/>
    <w:link w:val="Hidden"/>
    <w:rsid w:val="00BE0758"/>
    <w:rPr>
      <w:vanish/>
      <w:color w:val="auto"/>
    </w:rPr>
  </w:style>
  <w:style w:type="paragraph" w:styleId="Title">
    <w:name w:val="Title"/>
    <w:basedOn w:val="Normal"/>
    <w:next w:val="Normal"/>
    <w:link w:val="TitleChar"/>
    <w:uiPriority w:val="10"/>
    <w:qFormat/>
    <w:rsid w:val="004A15FF"/>
    <w:pPr>
      <w:spacing w:after="240"/>
      <w:contextualSpacing/>
      <w:jc w:val="center"/>
    </w:pPr>
    <w:rPr>
      <w:rFonts w:ascii="Times New Roman" w:eastAsiaTheme="majorEastAsia" w:hAnsi="Times New Roman" w:cs="Times New Roman"/>
      <w:b/>
      <w:spacing w:val="-10"/>
      <w:kern w:val="28"/>
      <w:szCs w:val="56"/>
      <w14:ligatures w14:val="standardContextual"/>
    </w:rPr>
  </w:style>
  <w:style w:type="character" w:customStyle="1" w:styleId="TitleChar">
    <w:name w:val="Title Char"/>
    <w:basedOn w:val="DefaultParagraphFont"/>
    <w:link w:val="Title"/>
    <w:uiPriority w:val="10"/>
    <w:rsid w:val="004A15FF"/>
    <w:rPr>
      <w:rFonts w:eastAsiaTheme="majorEastAsia"/>
      <w:b/>
      <w:color w:val="auto"/>
      <w:spacing w:val="-10"/>
      <w:kern w:val="28"/>
      <w:szCs w:val="56"/>
    </w:rPr>
  </w:style>
  <w:style w:type="paragraph" w:styleId="BodyText">
    <w:name w:val="Body Text"/>
    <w:basedOn w:val="Normal"/>
    <w:link w:val="BodyTextChar"/>
    <w:qFormat/>
    <w:rsid w:val="00C67C5E"/>
    <w:pPr>
      <w:spacing w:after="0" w:line="480" w:lineRule="auto"/>
      <w:ind w:firstLine="720"/>
      <w:contextualSpacing/>
    </w:pPr>
    <w:rPr>
      <w:rFonts w:ascii="Times New Roman" w:hAnsi="Times New Roman" w:cs="Times New Roman"/>
    </w:rPr>
  </w:style>
  <w:style w:type="character" w:customStyle="1" w:styleId="BodyTextChar">
    <w:name w:val="Body Text Char"/>
    <w:basedOn w:val="DefaultParagraphFont"/>
    <w:link w:val="BodyText"/>
    <w:rsid w:val="00C67C5E"/>
    <w:rPr>
      <w:color w:val="auto"/>
      <w:kern w:val="0"/>
      <w14:ligatures w14:val="none"/>
    </w:rPr>
  </w:style>
  <w:style w:type="paragraph" w:customStyle="1" w:styleId="FirstParagraph">
    <w:name w:val="First Paragraph"/>
    <w:basedOn w:val="BodyText"/>
    <w:next w:val="BodyText"/>
    <w:qFormat/>
    <w:rsid w:val="004D2BFB"/>
  </w:style>
  <w:style w:type="paragraph" w:styleId="Bibliography">
    <w:name w:val="Bibliography"/>
    <w:basedOn w:val="Normal"/>
    <w:next w:val="Normal"/>
    <w:uiPriority w:val="37"/>
    <w:unhideWhenUsed/>
    <w:rsid w:val="005233D7"/>
  </w:style>
  <w:style w:type="paragraph" w:customStyle="1" w:styleId="Style1">
    <w:name w:val="Style1"/>
    <w:basedOn w:val="Bibliography"/>
    <w:qFormat/>
    <w:rsid w:val="00D8288C"/>
  </w:style>
  <w:style w:type="paragraph" w:styleId="Header">
    <w:name w:val="header"/>
    <w:basedOn w:val="Normal"/>
    <w:link w:val="HeaderChar"/>
    <w:uiPriority w:val="99"/>
    <w:unhideWhenUsed/>
    <w:rsid w:val="0048721B"/>
    <w:pPr>
      <w:tabs>
        <w:tab w:val="center" w:pos="4680"/>
        <w:tab w:val="right" w:pos="9360"/>
      </w:tabs>
      <w:spacing w:after="0"/>
    </w:pPr>
  </w:style>
  <w:style w:type="character" w:customStyle="1" w:styleId="HeaderChar">
    <w:name w:val="Header Char"/>
    <w:basedOn w:val="DefaultParagraphFont"/>
    <w:link w:val="Header"/>
    <w:uiPriority w:val="99"/>
    <w:rsid w:val="0048721B"/>
    <w:rPr>
      <w:rFonts w:asciiTheme="minorHAnsi" w:hAnsiTheme="minorHAnsi" w:cstheme="minorBidi"/>
      <w:color w:val="auto"/>
      <w:kern w:val="0"/>
      <w14:ligatures w14:val="none"/>
    </w:rPr>
  </w:style>
  <w:style w:type="paragraph" w:styleId="Footer">
    <w:name w:val="footer"/>
    <w:basedOn w:val="Normal"/>
    <w:link w:val="FooterChar"/>
    <w:uiPriority w:val="99"/>
    <w:unhideWhenUsed/>
    <w:rsid w:val="0048721B"/>
    <w:pPr>
      <w:tabs>
        <w:tab w:val="center" w:pos="4680"/>
        <w:tab w:val="right" w:pos="9360"/>
      </w:tabs>
      <w:spacing w:after="0"/>
    </w:pPr>
  </w:style>
  <w:style w:type="character" w:customStyle="1" w:styleId="FooterChar">
    <w:name w:val="Footer Char"/>
    <w:basedOn w:val="DefaultParagraphFont"/>
    <w:link w:val="Footer"/>
    <w:uiPriority w:val="99"/>
    <w:rsid w:val="0048721B"/>
    <w:rPr>
      <w:rFonts w:asciiTheme="minorHAnsi" w:hAnsiTheme="minorHAnsi" w:cstheme="minorBidi"/>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1737</Words>
  <Characters>9903</Characters>
  <Application>Microsoft Office Word</Application>
  <DocSecurity>0</DocSecurity>
  <Lines>82</Lines>
  <Paragraphs>23</Paragraphs>
  <ScaleCrop>false</ScaleCrop>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Carson</dc:creator>
  <cp:keywords/>
  <dc:description/>
  <cp:lastModifiedBy>Matthew Carson</cp:lastModifiedBy>
  <cp:revision>26</cp:revision>
  <cp:lastPrinted>2023-07-04T18:01:00Z</cp:lastPrinted>
  <dcterms:created xsi:type="dcterms:W3CDTF">2023-07-04T17:27:00Z</dcterms:created>
  <dcterms:modified xsi:type="dcterms:W3CDTF">2023-07-04T18:05:00Z</dcterms:modified>
</cp:coreProperties>
</file>