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100"/>
        <w:jc w:val="center"/>
      </w:pPr>
      <w:r>
        <w:rPr>
          <w:rFonts w:ascii="Arial" w:cs="Arial" w:eastAsia="Arial" w:hAnsi="Arial"/>
          <w:b/>
          <w:bCs/>
          <w:color w:val="003B73"/>
          <w:sz w:val="56"/>
          <w:szCs w:val="56"/>
        </w:rPr>
        <w:t xml:space="preserve">BLOODSTREAM</w:t>
      </w:r>
    </w:p>
    <w:p>
      <w:pPr>
        <w:spacing w:after="100"/>
        <w:jc w:val="center"/>
      </w:pPr>
      <w:r>
        <w:rPr>
          <w:rFonts w:ascii="Arial" w:cs="Arial" w:eastAsia="Arial" w:hAnsi="Arial"/>
          <w:color w:val="00B140"/>
          <w:sz w:val="36"/>
          <w:szCs w:val="36"/>
        </w:rPr>
        <w:t xml:space="preserve">TELKOM RETAIL DEMO INSTANCE</w:t>
      </w:r>
    </w:p>
    <w:p>
      <w:pPr>
        <w:spacing w:after="200"/>
        <w:jc w:val="center"/>
      </w:pPr>
      <w:r>
        <w:rPr>
          <w:rFonts w:ascii="Arial" w:cs="Arial" w:eastAsia="Arial" w:hAnsi="Arial"/>
          <w:color w:val="4A4A4A"/>
          <w:sz w:val="24"/>
          <w:szCs w:val="24"/>
        </w:rPr>
        <w:t xml:space="preserve">Mockup Data &amp; Claude Code Build Brief</w:t>
      </w:r>
    </w:p>
    <w:p>
      <w:pPr>
        <w:spacing w:after="400"/>
      </w:pPr>
    </w:p>
    <w:p>
      <w:pPr>
        <w:spacing w:after="80"/>
        <w:jc w:val="center"/>
      </w:pPr>
      <w:r>
        <w:rPr>
          <w:rFonts w:ascii="Arial" w:cs="Arial" w:eastAsia="Arial" w:hAnsi="Arial"/>
          <w:color w:val="4A4A4A"/>
          <w:sz w:val="22"/>
          <w:szCs w:val="22"/>
        </w:rPr>
        <w:t xml:space="preserve">Prepared for VML Pitch Team</w:t>
      </w:r>
    </w:p>
    <w:p>
      <w:pPr>
        <w:spacing w:after="80"/>
        <w:jc w:val="center"/>
      </w:pPr>
      <w:r>
        <w:rPr>
          <w:rFonts w:ascii="Arial" w:cs="Arial" w:eastAsia="Arial" w:hAnsi="Arial"/>
          <w:color w:val="4A4A4A"/>
          <w:sz w:val="22"/>
          <w:szCs w:val="22"/>
        </w:rPr>
        <w:t xml:space="preserve">March 2026</w:t>
      </w:r>
    </w:p>
    <w:p>
      <w:pPr>
        <w:jc w:val="center"/>
      </w:pPr>
      <w:r>
        <w:rPr>
          <w:rFonts w:ascii="Arial" w:cs="Arial" w:eastAsia="Arial" w:hAnsi="Arial"/>
          <w:b/>
          <w:bCs/>
          <w:color w:val="003B73"/>
          <w:sz w:val="20"/>
          <w:szCs w:val="20"/>
        </w:rPr>
        <w:t xml:space="preserve">CONFIDENTIAL</w:t>
      </w:r>
    </w:p>
    <w:p>
      <w:r>
        <w:br w:type="page"/>
      </w:r>
    </w:p>
    <w:p>
      <w:pPr>
        <w:pStyle w:val="Heading1"/>
      </w:pPr>
      <w:r>
        <w:t xml:space="preserve">1. Telkom Brand Specifications</w:t>
      </w:r>
    </w:p>
    <w:p>
      <w:pPr>
        <w:spacing w:after="120"/>
      </w:pPr>
      <w:r>
        <w:t xml:space="preserve">The demo instance must reflect Telkom's refreshed brand identity (2025 rebrand). The following specifications are derived from publicly available brand references.</w:t>
      </w:r>
    </w:p>
    <w:p>
      <w:pPr>
        <w:spacing w:after="80"/>
      </w:pPr>
    </w:p>
    <w:p>
      <w:pPr>
        <w:pStyle w:val="Heading2"/>
      </w:pPr>
      <w:r>
        <w:t xml:space="preserve">1.1 Colour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E0E4E8" w:sz="1"/>
              <w:left w:val="single" w:color="E0E4E8" w:sz="1"/>
              <w:bottom w:val="single" w:color="E0E4E8" w:sz="1"/>
              <w:right w:val="single" w:color="E0E4E8" w:sz="1"/>
            </w:tcBorders>
            <w:shd w:fill="003B73" w:val="clear"/>
            <w:tcMar>
              <w:top w:type="dxa" w:w="80"/>
              <w:left w:type="dxa" w:w="120"/>
              <w:bottom w:type="dxa" w:w="80"/>
              <w:right w:type="dxa" w:w="120"/>
            </w:tcMar>
          </w:tcPr>
          <w:p>
            <w:r>
              <w:rPr>
                <w:rFonts w:ascii="Arial" w:cs="Arial" w:eastAsia="Arial" w:hAnsi="Arial"/>
                <w:b/>
                <w:bCs/>
                <w:color w:val="FFFFFF"/>
                <w:sz w:val="20"/>
                <w:szCs w:val="20"/>
              </w:rPr>
              <w:t xml:space="preserve">Colour</w:t>
            </w:r>
          </w:p>
        </w:tc>
        <w:tc>
          <w:tcPr>
            <w:tcW w:type="dxa" w:w="2200"/>
            <w:tcBorders>
              <w:top w:val="single" w:color="E0E4E8" w:sz="1"/>
              <w:left w:val="single" w:color="E0E4E8" w:sz="1"/>
              <w:bottom w:val="single" w:color="E0E4E8" w:sz="1"/>
              <w:right w:val="single" w:color="E0E4E8" w:sz="1"/>
            </w:tcBorders>
            <w:shd w:fill="003B73" w:val="clear"/>
            <w:tcMar>
              <w:top w:type="dxa" w:w="80"/>
              <w:left w:type="dxa" w:w="120"/>
              <w:bottom w:type="dxa" w:w="80"/>
              <w:right w:type="dxa" w:w="120"/>
            </w:tcMar>
          </w:tcPr>
          <w:p>
            <w:r>
              <w:rPr>
                <w:rFonts w:ascii="Arial" w:cs="Arial" w:eastAsia="Arial" w:hAnsi="Arial"/>
                <w:b/>
                <w:bCs/>
                <w:color w:val="FFFFFF"/>
                <w:sz w:val="20"/>
                <w:szCs w:val="20"/>
              </w:rPr>
              <w:t xml:space="preserve">Hex Code</w:t>
            </w:r>
          </w:p>
        </w:tc>
        <w:tc>
          <w:tcPr>
            <w:tcW w:type="dxa" w:w="4960"/>
            <w:tcBorders>
              <w:top w:val="single" w:color="E0E4E8" w:sz="1"/>
              <w:left w:val="single" w:color="E0E4E8" w:sz="1"/>
              <w:bottom w:val="single" w:color="E0E4E8" w:sz="1"/>
              <w:right w:val="single" w:color="E0E4E8" w:sz="1"/>
            </w:tcBorders>
            <w:shd w:fill="003B73"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2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Primary Blue</w:t>
            </w:r>
          </w:p>
        </w:tc>
        <w:tc>
          <w:tcPr>
            <w:tcW w:type="dxa" w:w="22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#003B73</w:t>
            </w:r>
          </w:p>
        </w:tc>
        <w:tc>
          <w:tcPr>
            <w:tcW w:type="dxa" w:w="49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Headers, primary buttons, navigation, hero backgrounds</w:t>
            </w:r>
          </w:p>
        </w:tc>
      </w:tr>
      <w:tr>
        <w:tc>
          <w:tcPr>
            <w:tcW w:type="dxa" w:w="22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Trust Blue</w:t>
            </w:r>
          </w:p>
        </w:tc>
        <w:tc>
          <w:tcPr>
            <w:tcW w:type="dxa" w:w="22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#0077C8</w:t>
            </w:r>
          </w:p>
        </w:tc>
        <w:tc>
          <w:tcPr>
            <w:tcW w:type="dxa" w:w="496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Secondary buttons, links, active states, highlights</w:t>
            </w:r>
          </w:p>
        </w:tc>
      </w:tr>
      <w:tr>
        <w:tc>
          <w:tcPr>
            <w:tcW w:type="dxa" w:w="22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Growth Green</w:t>
            </w:r>
          </w:p>
        </w:tc>
        <w:tc>
          <w:tcPr>
            <w:tcW w:type="dxa" w:w="22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#00B140</w:t>
            </w:r>
          </w:p>
        </w:tc>
        <w:tc>
          <w:tcPr>
            <w:tcW w:type="dxa" w:w="49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Accent, success states, CTAs, progress indicators, the 'T' split</w:t>
            </w:r>
          </w:p>
        </w:tc>
      </w:tr>
      <w:tr>
        <w:tc>
          <w:tcPr>
            <w:tcW w:type="dxa" w:w="22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Dark Navy</w:t>
            </w:r>
          </w:p>
        </w:tc>
        <w:tc>
          <w:tcPr>
            <w:tcW w:type="dxa" w:w="22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#001F3F</w:t>
            </w:r>
          </w:p>
        </w:tc>
        <w:tc>
          <w:tcPr>
            <w:tcW w:type="dxa" w:w="496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Footer backgrounds, dark mode surfaces, text on light backgrounds</w:t>
            </w:r>
          </w:p>
        </w:tc>
      </w:tr>
      <w:tr>
        <w:tc>
          <w:tcPr>
            <w:tcW w:type="dxa" w:w="22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Body Grey</w:t>
            </w:r>
          </w:p>
        </w:tc>
        <w:tc>
          <w:tcPr>
            <w:tcW w:type="dxa" w:w="22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#4A4A4A</w:t>
            </w:r>
          </w:p>
        </w:tc>
        <w:tc>
          <w:tcPr>
            <w:tcW w:type="dxa" w:w="49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Body text, secondary labels</w:t>
            </w:r>
          </w:p>
        </w:tc>
      </w:tr>
      <w:tr>
        <w:tc>
          <w:tcPr>
            <w:tcW w:type="dxa" w:w="22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Light Grey</w:t>
            </w:r>
          </w:p>
        </w:tc>
        <w:tc>
          <w:tcPr>
            <w:tcW w:type="dxa" w:w="22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#F5F7FA</w:t>
            </w:r>
          </w:p>
        </w:tc>
        <w:tc>
          <w:tcPr>
            <w:tcW w:type="dxa" w:w="496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Page backgrounds, card backgrounds, table alternating rows</w:t>
            </w:r>
          </w:p>
        </w:tc>
      </w:tr>
      <w:tr>
        <w:tc>
          <w:tcPr>
            <w:tcW w:type="dxa" w:w="22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Border Grey</w:t>
            </w:r>
          </w:p>
        </w:tc>
        <w:tc>
          <w:tcPr>
            <w:tcW w:type="dxa" w:w="22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#E0E4E8</w:t>
            </w:r>
          </w:p>
        </w:tc>
        <w:tc>
          <w:tcPr>
            <w:tcW w:type="dxa" w:w="49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Table borders, dividers, input field borders</w:t>
            </w:r>
          </w:p>
        </w:tc>
      </w:tr>
      <w:tr>
        <w:tc>
          <w:tcPr>
            <w:tcW w:type="dxa" w:w="22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White</w:t>
            </w:r>
          </w:p>
        </w:tc>
        <w:tc>
          <w:tcPr>
            <w:tcW w:type="dxa" w:w="22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#FFFFFF</w:t>
            </w:r>
          </w:p>
        </w:tc>
        <w:tc>
          <w:tcPr>
            <w:tcW w:type="dxa" w:w="496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Cards, modals, input backgrounds</w:t>
            </w:r>
          </w:p>
        </w:tc>
      </w:tr>
    </w:tbl>
    <w:p>
      <w:pPr>
        <w:spacing w:after="120"/>
      </w:pPr>
    </w:p>
    <w:p>
      <w:pPr>
        <w:pStyle w:val="Heading2"/>
      </w:pPr>
      <w:r>
        <w:t xml:space="preserve">1.2 Typography</w:t>
      </w:r>
    </w:p>
    <w:p>
      <w:pPr>
        <w:spacing w:after="120"/>
      </w:pPr>
      <w:r>
        <w:t xml:space="preserve">Telkom uses a clean, modern sans-serif system. For the demo, use the following fallback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000"/>
        <w:gridCol w:w="2560"/>
      </w:tblGrid>
      <w:tr>
        <w:tc>
          <w:tcPr>
            <w:tcW w:type="dxa" w:w="2400"/>
            <w:tcBorders>
              <w:top w:val="single" w:color="E0E4E8" w:sz="1"/>
              <w:left w:val="single" w:color="E0E4E8" w:sz="1"/>
              <w:bottom w:val="single" w:color="E0E4E8" w:sz="1"/>
              <w:right w:val="single" w:color="E0E4E8" w:sz="1"/>
            </w:tcBorders>
            <w:shd w:fill="003B73"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2400"/>
            <w:tcBorders>
              <w:top w:val="single" w:color="E0E4E8" w:sz="1"/>
              <w:left w:val="single" w:color="E0E4E8" w:sz="1"/>
              <w:bottom w:val="single" w:color="E0E4E8" w:sz="1"/>
              <w:right w:val="single" w:color="E0E4E8" w:sz="1"/>
            </w:tcBorders>
            <w:shd w:fill="003B73" w:val="clear"/>
            <w:tcMar>
              <w:top w:type="dxa" w:w="80"/>
              <w:left w:type="dxa" w:w="120"/>
              <w:bottom w:type="dxa" w:w="80"/>
              <w:right w:type="dxa" w:w="120"/>
            </w:tcMar>
          </w:tcPr>
          <w:p>
            <w:r>
              <w:rPr>
                <w:rFonts w:ascii="Arial" w:cs="Arial" w:eastAsia="Arial" w:hAnsi="Arial"/>
                <w:b/>
                <w:bCs/>
                <w:color w:val="FFFFFF"/>
                <w:sz w:val="20"/>
                <w:szCs w:val="20"/>
              </w:rPr>
              <w:t xml:space="preserve">Font</w:t>
            </w:r>
          </w:p>
        </w:tc>
        <w:tc>
          <w:tcPr>
            <w:tcW w:type="dxa" w:w="2000"/>
            <w:tcBorders>
              <w:top w:val="single" w:color="E0E4E8" w:sz="1"/>
              <w:left w:val="single" w:color="E0E4E8" w:sz="1"/>
              <w:bottom w:val="single" w:color="E0E4E8" w:sz="1"/>
              <w:right w:val="single" w:color="E0E4E8" w:sz="1"/>
            </w:tcBorders>
            <w:shd w:fill="003B73"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2560"/>
            <w:tcBorders>
              <w:top w:val="single" w:color="E0E4E8" w:sz="1"/>
              <w:left w:val="single" w:color="E0E4E8" w:sz="1"/>
              <w:bottom w:val="single" w:color="E0E4E8" w:sz="1"/>
              <w:right w:val="single" w:color="E0E4E8" w:sz="1"/>
            </w:tcBorders>
            <w:shd w:fill="003B73" w:val="clear"/>
            <w:tcMar>
              <w:top w:type="dxa" w:w="80"/>
              <w:left w:type="dxa" w:w="120"/>
              <w:bottom w:type="dxa" w:w="80"/>
              <w:right w:type="dxa" w:w="120"/>
            </w:tcMar>
          </w:tcPr>
          <w:p>
            <w:r>
              <w:rPr>
                <w:rFonts w:ascii="Arial" w:cs="Arial" w:eastAsia="Arial" w:hAnsi="Arial"/>
                <w:b/>
                <w:bCs/>
                <w:color w:val="FFFFFF"/>
                <w:sz w:val="20"/>
                <w:szCs w:val="20"/>
              </w:rPr>
              <w:t xml:space="preserve">Weight</w:t>
            </w:r>
          </w:p>
        </w:tc>
      </w:tr>
      <w:tr>
        <w:tc>
          <w:tcPr>
            <w:tcW w:type="dxa" w:w="24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Page Title / Hero</w:t>
            </w:r>
          </w:p>
        </w:tc>
        <w:tc>
          <w:tcPr>
            <w:tcW w:type="dxa" w:w="24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Inter or Poppins</w:t>
            </w:r>
          </w:p>
        </w:tc>
        <w:tc>
          <w:tcPr>
            <w:tcW w:type="dxa" w:w="20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32-40px</w:t>
            </w:r>
          </w:p>
        </w:tc>
        <w:tc>
          <w:tcPr>
            <w:tcW w:type="dxa" w:w="25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Bold (700)</w:t>
            </w:r>
          </w:p>
        </w:tc>
      </w:tr>
      <w:tr>
        <w:tc>
          <w:tcPr>
            <w:tcW w:type="dxa" w:w="24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Section Heading</w:t>
            </w:r>
          </w:p>
        </w:tc>
        <w:tc>
          <w:tcPr>
            <w:tcW w:type="dxa" w:w="24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Inter or Poppins</w:t>
            </w:r>
          </w:p>
        </w:tc>
        <w:tc>
          <w:tcPr>
            <w:tcW w:type="dxa" w:w="20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24-28px</w:t>
            </w:r>
          </w:p>
        </w:tc>
        <w:tc>
          <w:tcPr>
            <w:tcW w:type="dxa" w:w="256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Semi-Bold (600)</w:t>
            </w:r>
          </w:p>
        </w:tc>
      </w:tr>
      <w:tr>
        <w:tc>
          <w:tcPr>
            <w:tcW w:type="dxa" w:w="24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Card Title</w:t>
            </w:r>
          </w:p>
        </w:tc>
        <w:tc>
          <w:tcPr>
            <w:tcW w:type="dxa" w:w="24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Inter or Poppins</w:t>
            </w:r>
          </w:p>
        </w:tc>
        <w:tc>
          <w:tcPr>
            <w:tcW w:type="dxa" w:w="20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18-20px</w:t>
            </w:r>
          </w:p>
        </w:tc>
        <w:tc>
          <w:tcPr>
            <w:tcW w:type="dxa" w:w="25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Semi-Bold (600)</w:t>
            </w:r>
          </w:p>
        </w:tc>
      </w:tr>
      <w:tr>
        <w:tc>
          <w:tcPr>
            <w:tcW w:type="dxa" w:w="24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Body Text</w:t>
            </w:r>
          </w:p>
        </w:tc>
        <w:tc>
          <w:tcPr>
            <w:tcW w:type="dxa" w:w="24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Inter</w:t>
            </w:r>
          </w:p>
        </w:tc>
        <w:tc>
          <w:tcPr>
            <w:tcW w:type="dxa" w:w="20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14-16px</w:t>
            </w:r>
          </w:p>
        </w:tc>
        <w:tc>
          <w:tcPr>
            <w:tcW w:type="dxa" w:w="256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Regular (400)</w:t>
            </w:r>
          </w:p>
        </w:tc>
      </w:tr>
      <w:tr>
        <w:tc>
          <w:tcPr>
            <w:tcW w:type="dxa" w:w="24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Caption / Label</w:t>
            </w:r>
          </w:p>
        </w:tc>
        <w:tc>
          <w:tcPr>
            <w:tcW w:type="dxa" w:w="24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Inter</w:t>
            </w:r>
          </w:p>
        </w:tc>
        <w:tc>
          <w:tcPr>
            <w:tcW w:type="dxa" w:w="20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12-13px</w:t>
            </w:r>
          </w:p>
        </w:tc>
        <w:tc>
          <w:tcPr>
            <w:tcW w:type="dxa" w:w="25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Medium (500)</w:t>
            </w:r>
          </w:p>
        </w:tc>
      </w:tr>
      <w:tr>
        <w:tc>
          <w:tcPr>
            <w:tcW w:type="dxa" w:w="24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Data / KPI Numbers</w:t>
            </w:r>
          </w:p>
        </w:tc>
        <w:tc>
          <w:tcPr>
            <w:tcW w:type="dxa" w:w="24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Inter</w:t>
            </w:r>
          </w:p>
        </w:tc>
        <w:tc>
          <w:tcPr>
            <w:tcW w:type="dxa" w:w="20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36-48px</w:t>
            </w:r>
          </w:p>
        </w:tc>
        <w:tc>
          <w:tcPr>
            <w:tcW w:type="dxa" w:w="256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Bold (700)</w:t>
            </w:r>
          </w:p>
        </w:tc>
      </w:tr>
    </w:tbl>
    <w:p>
      <w:pPr>
        <w:spacing w:after="120"/>
      </w:pPr>
    </w:p>
    <w:p>
      <w:pPr>
        <w:pStyle w:val="Heading2"/>
      </w:pPr>
      <w:r>
        <w:t xml:space="preserve">1.3 Logo &amp; Visual Identity</w:t>
      </w:r>
    </w:p>
    <w:p>
      <w:pPr>
        <w:spacing w:after="120"/>
      </w:pPr>
      <w:r>
        <w:rPr>
          <w:b/>
          <w:bCs/>
        </w:rPr>
        <w:t xml:space="preserve">Logo: </w:t>
      </w:r>
      <w:r>
        <w:t xml:space="preserve">The 'Dynamic T' — a refreshed Telkom 'T' with a diagonal green split running through it. The logo should appear in the top-left of the navigation bar.</w:t>
      </w:r>
    </w:p>
    <w:p>
      <w:pPr>
        <w:spacing w:after="120"/>
      </w:pPr>
      <w:r>
        <w:rPr>
          <w:b/>
          <w:bCs/>
        </w:rPr>
        <w:t xml:space="preserve">Tagline: </w:t>
      </w:r>
      <w:r>
        <w:t xml:space="preserve">'Possible Begins Here' — this replaces the previous 'Tomorrow Starts Today'. Can be used in the dashboard hero area.</w:t>
      </w:r>
    </w:p>
    <w:p>
      <w:pPr>
        <w:spacing w:after="120"/>
      </w:pPr>
      <w:r>
        <w:rPr>
          <w:b/>
          <w:bCs/>
        </w:rPr>
        <w:t xml:space="preserve">Visual Motif: </w:t>
      </w:r>
      <w:r>
        <w:t xml:space="preserve">Bold, motion-ready design language. Diagonal lines and split-colour elements echo the logo's diagonal green cut. Use subtle diagonal gradient overlays (blue-to-green at ~135deg) on hero sections and key CTAs.</w:t>
      </w:r>
    </w:p>
    <w:p>
      <w:pPr>
        <w:spacing w:after="120"/>
      </w:pPr>
      <w:r>
        <w:rPr>
          <w:b/>
          <w:bCs/>
        </w:rPr>
        <w:t xml:space="preserve">Design Principles: </w:t>
      </w:r>
      <w:r>
        <w:t xml:space="preserve">Clean white space, rounded corners (8-12px radius), subtle card shadows, the blue-green palette as a bold counterpoint to competitors' yellows and reds. Cards should have a 1px left-border accent in green for visual rhythm.</w:t>
      </w:r>
    </w:p>
    <w:p>
      <w:r>
        <w:br w:type="page"/>
      </w:r>
    </w:p>
    <w:p>
      <w:pPr>
        <w:pStyle w:val="Heading1"/>
      </w:pPr>
      <w:r>
        <w:t xml:space="preserve">2. Mockup Data Sets</w:t>
      </w:r>
    </w:p>
    <w:p>
      <w:pPr>
        <w:spacing w:after="120"/>
      </w:pPr>
      <w:r>
        <w:t xml:space="preserve">All data below is fictional but realistic. It represents a single month's worth of Telkom retail marketing activity, designed to populate the demo with believable content across all screens.</w:t>
      </w:r>
    </w:p>
    <w:p>
      <w:pPr>
        <w:spacing w:after="80"/>
      </w:pPr>
    </w:p>
    <w:p>
      <w:pPr>
        <w:pStyle w:val="Heading2"/>
      </w:pPr>
      <w:r>
        <w:t xml:space="preserve">2.1 Team Members &amp;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800"/>
        <w:gridCol w:w="2960"/>
      </w:tblGrid>
      <w:tr>
        <w:tc>
          <w:tcPr>
            <w:tcW w:type="dxa" w:w="2200"/>
            <w:tcBorders>
              <w:top w:val="single" w:color="E0E4E8" w:sz="1"/>
              <w:left w:val="single" w:color="E0E4E8" w:sz="1"/>
              <w:bottom w:val="single" w:color="E0E4E8" w:sz="1"/>
              <w:right w:val="single" w:color="E0E4E8" w:sz="1"/>
            </w:tcBorders>
            <w:shd w:fill="003B73"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400"/>
            <w:tcBorders>
              <w:top w:val="single" w:color="E0E4E8" w:sz="1"/>
              <w:left w:val="single" w:color="E0E4E8" w:sz="1"/>
              <w:bottom w:val="single" w:color="E0E4E8" w:sz="1"/>
              <w:right w:val="single" w:color="E0E4E8" w:sz="1"/>
            </w:tcBorders>
            <w:shd w:fill="003B73"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1800"/>
            <w:tcBorders>
              <w:top w:val="single" w:color="E0E4E8" w:sz="1"/>
              <w:left w:val="single" w:color="E0E4E8" w:sz="1"/>
              <w:bottom w:val="single" w:color="E0E4E8" w:sz="1"/>
              <w:right w:val="single" w:color="E0E4E8" w:sz="1"/>
            </w:tcBorders>
            <w:shd w:fill="003B73" w:val="clear"/>
            <w:tcMar>
              <w:top w:type="dxa" w:w="80"/>
              <w:left w:type="dxa" w:w="120"/>
              <w:bottom w:type="dxa" w:w="80"/>
              <w:right w:type="dxa" w:w="120"/>
            </w:tcMar>
          </w:tcPr>
          <w:p>
            <w:r>
              <w:rPr>
                <w:rFonts w:ascii="Arial" w:cs="Arial" w:eastAsia="Arial" w:hAnsi="Arial"/>
                <w:b/>
                <w:bCs/>
                <w:color w:val="FFFFFF"/>
                <w:sz w:val="20"/>
                <w:szCs w:val="20"/>
              </w:rPr>
              <w:t xml:space="preserve">Organisation</w:t>
            </w:r>
          </w:p>
        </w:tc>
        <w:tc>
          <w:tcPr>
            <w:tcW w:type="dxa" w:w="2960"/>
            <w:tcBorders>
              <w:top w:val="single" w:color="E0E4E8" w:sz="1"/>
              <w:left w:val="single" w:color="E0E4E8" w:sz="1"/>
              <w:bottom w:val="single" w:color="E0E4E8" w:sz="1"/>
              <w:right w:val="single" w:color="E0E4E8" w:sz="1"/>
            </w:tcBorders>
            <w:shd w:fill="003B73" w:val="clear"/>
            <w:tcMar>
              <w:top w:type="dxa" w:w="80"/>
              <w:left w:type="dxa" w:w="120"/>
              <w:bottom w:type="dxa" w:w="80"/>
              <w:right w:type="dxa" w:w="120"/>
            </w:tcMar>
          </w:tcPr>
          <w:p>
            <w:r>
              <w:rPr>
                <w:rFonts w:ascii="Arial" w:cs="Arial" w:eastAsia="Arial" w:hAnsi="Arial"/>
                <w:b/>
                <w:bCs/>
                <w:color w:val="FFFFFF"/>
                <w:sz w:val="20"/>
                <w:szCs w:val="20"/>
              </w:rPr>
              <w:t xml:space="preserve">Permissions</w:t>
            </w:r>
          </w:p>
        </w:tc>
      </w:tr>
      <w:tr>
        <w:tc>
          <w:tcPr>
            <w:tcW w:type="dxa" w:w="22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Sipho Ndlovu</w:t>
            </w:r>
          </w:p>
        </w:tc>
        <w:tc>
          <w:tcPr>
            <w:tcW w:type="dxa" w:w="24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Marketing Director</w:t>
            </w:r>
          </w:p>
        </w:tc>
        <w:tc>
          <w:tcPr>
            <w:tcW w:type="dxa" w:w="18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Telkom</w:t>
            </w:r>
          </w:p>
        </w:tc>
        <w:tc>
          <w:tcPr>
            <w:tcW w:type="dxa" w:w="29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Client Approver (Platinum/Gold)</w:t>
            </w:r>
          </w:p>
        </w:tc>
      </w:tr>
      <w:tr>
        <w:tc>
          <w:tcPr>
            <w:tcW w:type="dxa" w:w="22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Naledi Mahlangu</w:t>
            </w:r>
          </w:p>
        </w:tc>
        <w:tc>
          <w:tcPr>
            <w:tcW w:type="dxa" w:w="24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Brand Manager — Retail</w:t>
            </w:r>
          </w:p>
        </w:tc>
        <w:tc>
          <w:tcPr>
            <w:tcW w:type="dxa" w:w="18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Telkom</w:t>
            </w:r>
          </w:p>
        </w:tc>
        <w:tc>
          <w:tcPr>
            <w:tcW w:type="dxa" w:w="296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Client Approver, Brief Submitter</w:t>
            </w:r>
          </w:p>
        </w:tc>
      </w:tr>
      <w:tr>
        <w:tc>
          <w:tcPr>
            <w:tcW w:type="dxa" w:w="22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Thabo Molefe</w:t>
            </w:r>
          </w:p>
        </w:tc>
        <w:tc>
          <w:tcPr>
            <w:tcW w:type="dxa" w:w="24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Campaign Coordinator</w:t>
            </w:r>
          </w:p>
        </w:tc>
        <w:tc>
          <w:tcPr>
            <w:tcW w:type="dxa" w:w="18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Telkom</w:t>
            </w:r>
          </w:p>
        </w:tc>
        <w:tc>
          <w:tcPr>
            <w:tcW w:type="dxa" w:w="29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Brief Submitter, Viewer</w:t>
            </w:r>
          </w:p>
        </w:tc>
      </w:tr>
      <w:tr>
        <w:tc>
          <w:tcPr>
            <w:tcW w:type="dxa" w:w="22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Refilwe Khumalo</w:t>
            </w:r>
          </w:p>
        </w:tc>
        <w:tc>
          <w:tcPr>
            <w:tcW w:type="dxa" w:w="24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Retail Ops Manager</w:t>
            </w:r>
          </w:p>
        </w:tc>
        <w:tc>
          <w:tcPr>
            <w:tcW w:type="dxa" w:w="18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Telkom</w:t>
            </w:r>
          </w:p>
        </w:tc>
        <w:tc>
          <w:tcPr>
            <w:tcW w:type="dxa" w:w="296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Viewer, Channel QA</w:t>
            </w:r>
          </w:p>
        </w:tc>
      </w:tr>
      <w:tr>
        <w:tc>
          <w:tcPr>
            <w:tcW w:type="dxa" w:w="22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Matt Arnold</w:t>
            </w:r>
          </w:p>
        </w:tc>
        <w:tc>
          <w:tcPr>
            <w:tcW w:type="dxa" w:w="24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Account Director</w:t>
            </w:r>
          </w:p>
        </w:tc>
        <w:tc>
          <w:tcPr>
            <w:tcW w:type="dxa" w:w="18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VML</w:t>
            </w:r>
          </w:p>
        </w:tc>
        <w:tc>
          <w:tcPr>
            <w:tcW w:type="dxa" w:w="29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Full Access, Admin</w:t>
            </w:r>
          </w:p>
        </w:tc>
      </w:tr>
      <w:tr>
        <w:tc>
          <w:tcPr>
            <w:tcW w:type="dxa" w:w="22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Lerato Dlamini</w:t>
            </w:r>
          </w:p>
        </w:tc>
        <w:tc>
          <w:tcPr>
            <w:tcW w:type="dxa" w:w="24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Creative Director</w:t>
            </w:r>
          </w:p>
        </w:tc>
        <w:tc>
          <w:tcPr>
            <w:tcW w:type="dxa" w:w="18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VML</w:t>
            </w:r>
          </w:p>
        </w:tc>
        <w:tc>
          <w:tcPr>
            <w:tcW w:type="dxa" w:w="296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Creative Lead, Approver</w:t>
            </w:r>
          </w:p>
        </w:tc>
      </w:tr>
      <w:tr>
        <w:tc>
          <w:tcPr>
            <w:tcW w:type="dxa" w:w="22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James van der Merwe</w:t>
            </w:r>
          </w:p>
        </w:tc>
        <w:tc>
          <w:tcPr>
            <w:tcW w:type="dxa" w:w="24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Senior Designer</w:t>
            </w:r>
          </w:p>
        </w:tc>
        <w:tc>
          <w:tcPr>
            <w:tcW w:type="dxa" w:w="18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VML</w:t>
            </w:r>
          </w:p>
        </w:tc>
        <w:tc>
          <w:tcPr>
            <w:tcW w:type="dxa" w:w="29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Creator, DTP</w:t>
            </w:r>
          </w:p>
        </w:tc>
      </w:tr>
      <w:tr>
        <w:tc>
          <w:tcPr>
            <w:tcW w:type="dxa" w:w="22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Aisha Patel</w:t>
            </w:r>
          </w:p>
        </w:tc>
        <w:tc>
          <w:tcPr>
            <w:tcW w:type="dxa" w:w="24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Studio Manager</w:t>
            </w:r>
          </w:p>
        </w:tc>
        <w:tc>
          <w:tcPr>
            <w:tcW w:type="dxa" w:w="18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VML</w:t>
            </w:r>
          </w:p>
        </w:tc>
        <w:tc>
          <w:tcPr>
            <w:tcW w:type="dxa" w:w="296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Production Lead, QA</w:t>
            </w:r>
          </w:p>
        </w:tc>
      </w:tr>
      <w:tr>
        <w:tc>
          <w:tcPr>
            <w:tcW w:type="dxa" w:w="22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David Botha</w:t>
            </w:r>
          </w:p>
        </w:tc>
        <w:tc>
          <w:tcPr>
            <w:tcW w:type="dxa" w:w="24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Strategist</w:t>
            </w:r>
          </w:p>
        </w:tc>
        <w:tc>
          <w:tcPr>
            <w:tcW w:type="dxa" w:w="18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VML</w:t>
            </w:r>
          </w:p>
        </w:tc>
        <w:tc>
          <w:tcPr>
            <w:tcW w:type="dxa" w:w="29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Brief QA, Strategy</w:t>
            </w:r>
          </w:p>
        </w:tc>
      </w:tr>
      <w:tr>
        <w:tc>
          <w:tcPr>
            <w:tcW w:type="dxa" w:w="22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Zinhle Nkosi</w:t>
            </w:r>
          </w:p>
        </w:tc>
        <w:tc>
          <w:tcPr>
            <w:tcW w:type="dxa" w:w="24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Project Manager</w:t>
            </w:r>
          </w:p>
        </w:tc>
        <w:tc>
          <w:tcPr>
            <w:tcW w:type="dxa" w:w="18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VML</w:t>
            </w:r>
          </w:p>
        </w:tc>
        <w:tc>
          <w:tcPr>
            <w:tcW w:type="dxa" w:w="296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Workflow Manager, Full Access</w:t>
            </w:r>
          </w:p>
        </w:tc>
      </w:tr>
      <w:tr>
        <w:tc>
          <w:tcPr>
            <w:tcW w:type="dxa" w:w="22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Ryan Chen</w:t>
            </w:r>
          </w:p>
        </w:tc>
        <w:tc>
          <w:tcPr>
            <w:tcW w:type="dxa" w:w="24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Production Lead</w:t>
            </w:r>
          </w:p>
        </w:tc>
        <w:tc>
          <w:tcPr>
            <w:tcW w:type="dxa" w:w="18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WPP Production</w:t>
            </w:r>
          </w:p>
        </w:tc>
        <w:tc>
          <w:tcPr>
            <w:tcW w:type="dxa" w:w="29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Scale Production</w:t>
            </w:r>
          </w:p>
        </w:tc>
      </w:tr>
      <w:tr>
        <w:tc>
          <w:tcPr>
            <w:tcW w:type="dxa" w:w="22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Fatima Cassim</w:t>
            </w:r>
          </w:p>
        </w:tc>
        <w:tc>
          <w:tcPr>
            <w:tcW w:type="dxa" w:w="24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Brand Guardian Analyst</w:t>
            </w:r>
          </w:p>
        </w:tc>
        <w:tc>
          <w:tcPr>
            <w:tcW w:type="dxa" w:w="18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VML</w:t>
            </w:r>
          </w:p>
        </w:tc>
        <w:tc>
          <w:tcPr>
            <w:tcW w:type="dxa" w:w="296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Compliance QA</w:t>
            </w:r>
          </w:p>
        </w:tc>
      </w:tr>
    </w:tbl>
    <w:p>
      <w:pPr>
        <w:spacing w:after="120"/>
      </w:pPr>
    </w:p>
    <w:p>
      <w:pPr>
        <w:pStyle w:val="Heading2"/>
      </w:pPr>
      <w:r>
        <w:t xml:space="preserve">2.2 Active Campaigns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600"/>
        <w:gridCol w:w="1400"/>
        <w:gridCol w:w="2560"/>
      </w:tblGrid>
      <w:tr>
        <w:tc>
          <w:tcPr>
            <w:tcW w:type="dxa" w:w="2600"/>
            <w:tcBorders>
              <w:top w:val="single" w:color="E0E4E8" w:sz="1"/>
              <w:left w:val="single" w:color="E0E4E8" w:sz="1"/>
              <w:bottom w:val="single" w:color="E0E4E8" w:sz="1"/>
              <w:right w:val="single" w:color="E0E4E8" w:sz="1"/>
            </w:tcBorders>
            <w:shd w:fill="003B73" w:val="clear"/>
            <w:tcMar>
              <w:top w:type="dxa" w:w="80"/>
              <w:left w:type="dxa" w:w="120"/>
              <w:bottom w:type="dxa" w:w="80"/>
              <w:right w:type="dxa" w:w="120"/>
            </w:tcMar>
          </w:tcPr>
          <w:p>
            <w:r>
              <w:rPr>
                <w:rFonts w:ascii="Arial" w:cs="Arial" w:eastAsia="Arial" w:hAnsi="Arial"/>
                <w:b/>
                <w:bCs/>
                <w:color w:val="FFFFFF"/>
                <w:sz w:val="20"/>
                <w:szCs w:val="20"/>
              </w:rPr>
              <w:t xml:space="preserve">Campaign</w:t>
            </w:r>
          </w:p>
        </w:tc>
        <w:tc>
          <w:tcPr>
            <w:tcW w:type="dxa" w:w="1200"/>
            <w:tcBorders>
              <w:top w:val="single" w:color="E0E4E8" w:sz="1"/>
              <w:left w:val="single" w:color="E0E4E8" w:sz="1"/>
              <w:bottom w:val="single" w:color="E0E4E8" w:sz="1"/>
              <w:right w:val="single" w:color="E0E4E8" w:sz="1"/>
            </w:tcBorders>
            <w:shd w:fill="003B73"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600"/>
            <w:tcBorders>
              <w:top w:val="single" w:color="E0E4E8" w:sz="1"/>
              <w:left w:val="single" w:color="E0E4E8" w:sz="1"/>
              <w:bottom w:val="single" w:color="E0E4E8" w:sz="1"/>
              <w:right w:val="single" w:color="E0E4E8" w:sz="1"/>
            </w:tcBorders>
            <w:shd w:fill="003B73"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1400"/>
            <w:tcBorders>
              <w:top w:val="single" w:color="E0E4E8" w:sz="1"/>
              <w:left w:val="single" w:color="E0E4E8" w:sz="1"/>
              <w:bottom w:val="single" w:color="E0E4E8" w:sz="1"/>
              <w:right w:val="single" w:color="E0E4E8" w:sz="1"/>
            </w:tcBorders>
            <w:shd w:fill="003B73"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560"/>
            <w:tcBorders>
              <w:top w:val="single" w:color="E0E4E8" w:sz="1"/>
              <w:left w:val="single" w:color="E0E4E8" w:sz="1"/>
              <w:bottom w:val="single" w:color="E0E4E8" w:sz="1"/>
              <w:right w:val="single" w:color="E0E4E8" w:sz="1"/>
            </w:tcBorders>
            <w:shd w:fill="003B73" w:val="clear"/>
            <w:tcMar>
              <w:top w:type="dxa" w:w="80"/>
              <w:left w:type="dxa" w:w="120"/>
              <w:bottom w:type="dxa" w:w="80"/>
              <w:right w:type="dxa" w:w="120"/>
            </w:tcMar>
          </w:tcPr>
          <w:p>
            <w:r>
              <w:rPr>
                <w:rFonts w:ascii="Arial" w:cs="Arial" w:eastAsia="Arial" w:hAnsi="Arial"/>
                <w:b/>
                <w:bCs/>
                <w:color w:val="FFFFFF"/>
                <w:sz w:val="20"/>
                <w:szCs w:val="20"/>
              </w:rPr>
              <w:t xml:space="preserve">Owner</w:t>
            </w:r>
          </w:p>
        </w:tc>
      </w:tr>
      <w:tr>
        <w:tc>
          <w:tcPr>
            <w:tcW w:type="dxa" w:w="26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March Month-End Broadsheet</w:t>
            </w:r>
          </w:p>
        </w:tc>
        <w:tc>
          <w:tcPr>
            <w:tcW w:type="dxa" w:w="12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Platinum</w:t>
            </w:r>
          </w:p>
        </w:tc>
        <w:tc>
          <w:tcPr>
            <w:tcW w:type="dxa" w:w="16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In Approval</w:t>
            </w:r>
          </w:p>
        </w:tc>
        <w:tc>
          <w:tcPr>
            <w:tcW w:type="dxa" w:w="14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Deliver</w:t>
            </w:r>
          </w:p>
        </w:tc>
        <w:tc>
          <w:tcPr>
            <w:tcW w:type="dxa" w:w="25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Naledi Mahlangu</w:t>
            </w:r>
          </w:p>
        </w:tc>
      </w:tr>
      <w:tr>
        <w:tc>
          <w:tcPr>
            <w:tcW w:type="dxa" w:w="26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Samsung Galaxy S26 Launch</w:t>
            </w:r>
          </w:p>
        </w:tc>
        <w:tc>
          <w:tcPr>
            <w:tcW w:type="dxa" w:w="12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Gold</w:t>
            </w:r>
          </w:p>
        </w:tc>
        <w:tc>
          <w:tcPr>
            <w:tcW w:type="dxa" w:w="16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In Production</w:t>
            </w:r>
          </w:p>
        </w:tc>
        <w:tc>
          <w:tcPr>
            <w:tcW w:type="dxa" w:w="14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Develop</w:t>
            </w:r>
          </w:p>
        </w:tc>
        <w:tc>
          <w:tcPr>
            <w:tcW w:type="dxa" w:w="256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Thabo Molefe</w:t>
            </w:r>
          </w:p>
        </w:tc>
      </w:tr>
      <w:tr>
        <w:tc>
          <w:tcPr>
            <w:tcW w:type="dxa" w:w="26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Fibre Spring Sale — National</w:t>
            </w:r>
          </w:p>
        </w:tc>
        <w:tc>
          <w:tcPr>
            <w:tcW w:type="dxa" w:w="12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Gold</w:t>
            </w:r>
          </w:p>
        </w:tc>
        <w:tc>
          <w:tcPr>
            <w:tcW w:type="dxa" w:w="16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In Approval</w:t>
            </w:r>
          </w:p>
        </w:tc>
        <w:tc>
          <w:tcPr>
            <w:tcW w:type="dxa" w:w="14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Deliver</w:t>
            </w:r>
          </w:p>
        </w:tc>
        <w:tc>
          <w:tcPr>
            <w:tcW w:type="dxa" w:w="25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Naledi Mahlangu</w:t>
            </w:r>
          </w:p>
        </w:tc>
      </w:tr>
      <w:tr>
        <w:tc>
          <w:tcPr>
            <w:tcW w:type="dxa" w:w="26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LTE Router Tactical — Gauteng</w:t>
            </w:r>
          </w:p>
        </w:tc>
        <w:tc>
          <w:tcPr>
            <w:tcW w:type="dxa" w:w="12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Silver</w:t>
            </w:r>
          </w:p>
        </w:tc>
        <w:tc>
          <w:tcPr>
            <w:tcW w:type="dxa" w:w="16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Creative Review</w:t>
            </w:r>
          </w:p>
        </w:tc>
        <w:tc>
          <w:tcPr>
            <w:tcW w:type="dxa" w:w="14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Develop</w:t>
            </w:r>
          </w:p>
        </w:tc>
        <w:tc>
          <w:tcPr>
            <w:tcW w:type="dxa" w:w="256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Thabo Molefe</w:t>
            </w:r>
          </w:p>
        </w:tc>
      </w:tr>
      <w:tr>
        <w:tc>
          <w:tcPr>
            <w:tcW w:type="dxa" w:w="26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Contract Upgrade Awareness</w:t>
            </w:r>
          </w:p>
        </w:tc>
        <w:tc>
          <w:tcPr>
            <w:tcW w:type="dxa" w:w="12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Silver</w:t>
            </w:r>
          </w:p>
        </w:tc>
        <w:tc>
          <w:tcPr>
            <w:tcW w:type="dxa" w:w="16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Brief QA</w:t>
            </w:r>
          </w:p>
        </w:tc>
        <w:tc>
          <w:tcPr>
            <w:tcW w:type="dxa" w:w="14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Define</w:t>
            </w:r>
          </w:p>
        </w:tc>
        <w:tc>
          <w:tcPr>
            <w:tcW w:type="dxa" w:w="25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Naledi Mahlangu</w:t>
            </w:r>
          </w:p>
        </w:tc>
      </w:tr>
      <w:tr>
        <w:tc>
          <w:tcPr>
            <w:tcW w:type="dxa" w:w="26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Telkom Pay Cashback Promo</w:t>
            </w:r>
          </w:p>
        </w:tc>
        <w:tc>
          <w:tcPr>
            <w:tcW w:type="dxa" w:w="12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Bronze</w:t>
            </w:r>
          </w:p>
        </w:tc>
        <w:tc>
          <w:tcPr>
            <w:tcW w:type="dxa" w:w="16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Completed</w:t>
            </w:r>
          </w:p>
        </w:tc>
        <w:tc>
          <w:tcPr>
            <w:tcW w:type="dxa" w:w="14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Diagnose</w:t>
            </w:r>
          </w:p>
        </w:tc>
        <w:tc>
          <w:tcPr>
            <w:tcW w:type="dxa" w:w="256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Thabo Molefe</w:t>
            </w:r>
          </w:p>
        </w:tc>
      </w:tr>
      <w:tr>
        <w:tc>
          <w:tcPr>
            <w:tcW w:type="dxa" w:w="26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Store Rebranding Toolkit v2</w:t>
            </w:r>
          </w:p>
        </w:tc>
        <w:tc>
          <w:tcPr>
            <w:tcW w:type="dxa" w:w="12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Platinum</w:t>
            </w:r>
          </w:p>
        </w:tc>
        <w:tc>
          <w:tcPr>
            <w:tcW w:type="dxa" w:w="16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In Production</w:t>
            </w:r>
          </w:p>
        </w:tc>
        <w:tc>
          <w:tcPr>
            <w:tcW w:type="dxa" w:w="14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Develop</w:t>
            </w:r>
          </w:p>
        </w:tc>
        <w:tc>
          <w:tcPr>
            <w:tcW w:type="dxa" w:w="25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Refilwe Khumalo</w:t>
            </w:r>
          </w:p>
        </w:tc>
      </w:tr>
      <w:tr>
        <w:tc>
          <w:tcPr>
            <w:tcW w:type="dxa" w:w="26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Easter Weekend Flash Sale</w:t>
            </w:r>
          </w:p>
        </w:tc>
        <w:tc>
          <w:tcPr>
            <w:tcW w:type="dxa" w:w="12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Bronze</w:t>
            </w:r>
          </w:p>
        </w:tc>
        <w:tc>
          <w:tcPr>
            <w:tcW w:type="dxa" w:w="16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Fast-Track Active</w:t>
            </w:r>
          </w:p>
        </w:tc>
        <w:tc>
          <w:tcPr>
            <w:tcW w:type="dxa" w:w="14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Develop</w:t>
            </w:r>
          </w:p>
        </w:tc>
        <w:tc>
          <w:tcPr>
            <w:tcW w:type="dxa" w:w="256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Thabo Molefe</w:t>
            </w:r>
          </w:p>
        </w:tc>
      </w:tr>
      <w:tr>
        <w:tc>
          <w:tcPr>
            <w:tcW w:type="dxa" w:w="26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5G Coverage Expansion — KZN</w:t>
            </w:r>
          </w:p>
        </w:tc>
        <w:tc>
          <w:tcPr>
            <w:tcW w:type="dxa" w:w="12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Gold</w:t>
            </w:r>
          </w:p>
        </w:tc>
        <w:tc>
          <w:tcPr>
            <w:tcW w:type="dxa" w:w="16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Planning</w:t>
            </w:r>
          </w:p>
        </w:tc>
        <w:tc>
          <w:tcPr>
            <w:tcW w:type="dxa" w:w="14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Discover</w:t>
            </w:r>
          </w:p>
        </w:tc>
        <w:tc>
          <w:tcPr>
            <w:tcW w:type="dxa" w:w="25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Naledi Mahlangu</w:t>
            </w:r>
          </w:p>
        </w:tc>
      </w:tr>
      <w:tr>
        <w:tc>
          <w:tcPr>
            <w:tcW w:type="dxa" w:w="26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Telkom Business SME Bundle</w:t>
            </w:r>
          </w:p>
        </w:tc>
        <w:tc>
          <w:tcPr>
            <w:tcW w:type="dxa" w:w="12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Silver</w:t>
            </w:r>
          </w:p>
        </w:tc>
        <w:tc>
          <w:tcPr>
            <w:tcW w:type="dxa" w:w="16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Brief QA</w:t>
            </w:r>
          </w:p>
        </w:tc>
        <w:tc>
          <w:tcPr>
            <w:tcW w:type="dxa" w:w="14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Define</w:t>
            </w:r>
          </w:p>
        </w:tc>
        <w:tc>
          <w:tcPr>
            <w:tcW w:type="dxa" w:w="256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Sipho Ndlovu</w:t>
            </w:r>
          </w:p>
        </w:tc>
      </w:tr>
    </w:tbl>
    <w:p>
      <w:pPr>
        <w:spacing w:after="120"/>
      </w:pPr>
    </w:p>
    <w:p>
      <w:pPr>
        <w:pStyle w:val="Heading2"/>
      </w:pPr>
      <w:r>
        <w:t xml:space="preserve">2.3 Brief Detail — Samsung Galaxy S26 Launch</w:t>
      </w:r>
    </w:p>
    <w:p>
      <w:pPr>
        <w:spacing w:after="120"/>
      </w:pPr>
      <w:r>
        <w:t xml:space="preserve">This is a full example brief to populate the brief intake / detail screen:</w:t>
      </w:r>
    </w:p>
    <w:p>
      <w:pPr>
        <w:spacing w:after="40"/>
      </w:pPr>
    </w:p>
    <w:p>
      <w:pPr>
        <w:spacing w:after="80"/>
      </w:pPr>
      <w:r>
        <w:rPr>
          <w:rFonts w:ascii="Arial" w:cs="Arial" w:eastAsia="Arial" w:hAnsi="Arial"/>
          <w:b/>
          <w:bCs/>
          <w:sz w:val="22"/>
          <w:szCs w:val="22"/>
        </w:rPr>
        <w:t xml:space="preserve">Campaign Name: </w:t>
      </w:r>
      <w:r>
        <w:rPr>
          <w:rFonts w:ascii="Arial" w:cs="Arial" w:eastAsia="Arial" w:hAnsi="Arial"/>
          <w:sz w:val="22"/>
          <w:szCs w:val="22"/>
        </w:rPr>
        <w:t xml:space="preserve">Samsung Galaxy S26 Launch — Telkom Retail</w:t>
      </w:r>
    </w:p>
    <w:p>
      <w:pPr>
        <w:spacing w:after="80"/>
      </w:pPr>
      <w:r>
        <w:rPr>
          <w:rFonts w:ascii="Arial" w:cs="Arial" w:eastAsia="Arial" w:hAnsi="Arial"/>
          <w:b/>
          <w:bCs/>
          <w:sz w:val="22"/>
          <w:szCs w:val="22"/>
        </w:rPr>
        <w:t xml:space="preserve">Brief ID: </w:t>
      </w:r>
      <w:r>
        <w:rPr>
          <w:rFonts w:ascii="Arial" w:cs="Arial" w:eastAsia="Arial" w:hAnsi="Arial"/>
          <w:sz w:val="22"/>
          <w:szCs w:val="22"/>
        </w:rPr>
        <w:t xml:space="preserve">TLK-2026-0042</w:t>
      </w:r>
    </w:p>
    <w:p>
      <w:pPr>
        <w:spacing w:after="80"/>
      </w:pPr>
      <w:r>
        <w:rPr>
          <w:rFonts w:ascii="Arial" w:cs="Arial" w:eastAsia="Arial" w:hAnsi="Arial"/>
          <w:b/>
          <w:bCs/>
          <w:sz w:val="22"/>
          <w:szCs w:val="22"/>
        </w:rPr>
        <w:t xml:space="preserve">Tier: </w:t>
      </w:r>
      <w:r>
        <w:rPr>
          <w:rFonts w:ascii="Arial" w:cs="Arial" w:eastAsia="Arial" w:hAnsi="Arial"/>
          <w:sz w:val="22"/>
          <w:szCs w:val="22"/>
        </w:rPr>
        <w:t xml:space="preserve">Gold</w:t>
      </w:r>
    </w:p>
    <w:p>
      <w:pPr>
        <w:spacing w:after="80"/>
      </w:pPr>
      <w:r>
        <w:rPr>
          <w:rFonts w:ascii="Arial" w:cs="Arial" w:eastAsia="Arial" w:hAnsi="Arial"/>
          <w:b/>
          <w:bCs/>
          <w:sz w:val="22"/>
          <w:szCs w:val="22"/>
        </w:rPr>
        <w:t xml:space="preserve">Submitted By: </w:t>
      </w:r>
      <w:r>
        <w:rPr>
          <w:rFonts w:ascii="Arial" w:cs="Arial" w:eastAsia="Arial" w:hAnsi="Arial"/>
          <w:sz w:val="22"/>
          <w:szCs w:val="22"/>
        </w:rPr>
        <w:t xml:space="preserve">Thabo Molefe (Telkom)</w:t>
      </w:r>
    </w:p>
    <w:p>
      <w:pPr>
        <w:spacing w:after="80"/>
      </w:pPr>
      <w:r>
        <w:rPr>
          <w:rFonts w:ascii="Arial" w:cs="Arial" w:eastAsia="Arial" w:hAnsi="Arial"/>
          <w:b/>
          <w:bCs/>
          <w:sz w:val="22"/>
          <w:szCs w:val="22"/>
        </w:rPr>
        <w:t xml:space="preserve">Date Submitted: </w:t>
      </w:r>
      <w:r>
        <w:rPr>
          <w:rFonts w:ascii="Arial" w:cs="Arial" w:eastAsia="Arial" w:hAnsi="Arial"/>
          <w:sz w:val="22"/>
          <w:szCs w:val="22"/>
        </w:rPr>
        <w:t xml:space="preserve">28 February 2026</w:t>
      </w:r>
    </w:p>
    <w:p>
      <w:pPr>
        <w:spacing w:after="80"/>
      </w:pPr>
      <w:r>
        <w:rPr>
          <w:rFonts w:ascii="Arial" w:cs="Arial" w:eastAsia="Arial" w:hAnsi="Arial"/>
          <w:b/>
          <w:bCs/>
          <w:sz w:val="22"/>
          <w:szCs w:val="22"/>
        </w:rPr>
        <w:t xml:space="preserve">Campaign Phase: </w:t>
      </w:r>
      <w:r>
        <w:rPr>
          <w:rFonts w:ascii="Arial" w:cs="Arial" w:eastAsia="Arial" w:hAnsi="Arial"/>
          <w:sz w:val="22"/>
          <w:szCs w:val="22"/>
        </w:rPr>
        <w:t xml:space="preserve">Develop</w:t>
      </w:r>
    </w:p>
    <w:p>
      <w:pPr>
        <w:spacing w:after="80"/>
      </w:pPr>
      <w:r>
        <w:rPr>
          <w:rFonts w:ascii="Arial" w:cs="Arial" w:eastAsia="Arial" w:hAnsi="Arial"/>
          <w:b/>
          <w:bCs/>
          <w:sz w:val="22"/>
          <w:szCs w:val="22"/>
        </w:rPr>
        <w:t xml:space="preserve">Target Launch Date: </w:t>
      </w:r>
      <w:r>
        <w:rPr>
          <w:rFonts w:ascii="Arial" w:cs="Arial" w:eastAsia="Arial" w:hAnsi="Arial"/>
          <w:sz w:val="22"/>
          <w:szCs w:val="22"/>
        </w:rPr>
        <w:t xml:space="preserve">21 March 2026</w:t>
      </w:r>
    </w:p>
    <w:p>
      <w:pPr>
        <w:spacing w:after="40"/>
      </w:pPr>
    </w:p>
    <w:p>
      <w:pPr>
        <w:spacing w:after="80"/>
      </w:pPr>
      <w:r>
        <w:rPr>
          <w:rFonts w:ascii="Arial" w:cs="Arial" w:eastAsia="Arial" w:hAnsi="Arial"/>
          <w:b/>
          <w:bCs/>
          <w:sz w:val="22"/>
          <w:szCs w:val="22"/>
        </w:rPr>
        <w:t xml:space="preserve">Objective: </w:t>
      </w:r>
      <w:r>
        <w:rPr>
          <w:rFonts w:ascii="Arial" w:cs="Arial" w:eastAsia="Arial" w:hAnsi="Arial"/>
          <w:sz w:val="22"/>
          <w:szCs w:val="22"/>
        </w:rPr>
        <w:t xml:space="preserve">Drive pre-order sign-ups and in-store foot traffic for the Samsung Galaxy S26 launch across Telkom retail stores nationally. Position Telkom as the preferred carrier for Samsung's flagship device with exclusive trade-in and contract deals.</w:t>
      </w:r>
    </w:p>
    <w:p>
      <w:pPr>
        <w:spacing w:after="40"/>
      </w:pPr>
    </w:p>
    <w:p>
      <w:pPr>
        <w:spacing w:after="80"/>
      </w:pPr>
      <w:r>
        <w:rPr>
          <w:rFonts w:ascii="Arial" w:cs="Arial" w:eastAsia="Arial" w:hAnsi="Arial"/>
          <w:b/>
          <w:bCs/>
          <w:sz w:val="22"/>
          <w:szCs w:val="22"/>
        </w:rPr>
        <w:t xml:space="preserve">Target Audience: </w:t>
      </w:r>
      <w:r>
        <w:rPr>
          <w:rFonts w:ascii="Arial" w:cs="Arial" w:eastAsia="Arial" w:hAnsi="Arial"/>
          <w:sz w:val="22"/>
          <w:szCs w:val="22"/>
        </w:rPr>
        <w:t xml:space="preserve">Tech-savvy consumers aged 25-45, existing Telkom contract customers eligible for upgrade, Samsung brand loyalists</w:t>
      </w:r>
    </w:p>
    <w:p>
      <w:pPr>
        <w:spacing w:after="40"/>
      </w:pPr>
    </w:p>
    <w:p>
      <w:pPr>
        <w:spacing w:after="80"/>
      </w:pPr>
      <w:r>
        <w:rPr>
          <w:rFonts w:ascii="Arial" w:cs="Arial" w:eastAsia="Arial" w:hAnsi="Arial"/>
          <w:b/>
          <w:bCs/>
          <w:sz w:val="22"/>
          <w:szCs w:val="22"/>
        </w:rPr>
        <w:t xml:space="preserve">Key Messages: </w:t>
      </w:r>
      <w:r>
        <w:rPr>
          <w:rFonts w:ascii="Arial" w:cs="Arial" w:eastAsia="Arial" w:hAnsi="Arial"/>
          <w:sz w:val="22"/>
          <w:szCs w:val="22"/>
        </w:rPr>
        <w:t xml:space="preserve"/>
      </w:r>
    </w:p>
    <w:p>
      <w:pPr>
        <w:spacing w:after="120"/>
      </w:pPr>
      <w:r>
        <w:t xml:space="preserve">1. "Get the Galaxy S26 first — only at Telkom" (exclusivity window)</w:t>
      </w:r>
    </w:p>
    <w:p>
      <w:pPr>
        <w:spacing w:after="120"/>
      </w:pPr>
      <w:r>
        <w:t xml:space="preserve">2. Trade-in your old device for up to R8,000 off</w:t>
      </w:r>
    </w:p>
    <w:p>
      <w:pPr>
        <w:spacing w:after="120"/>
      </w:pPr>
      <w:r>
        <w:t xml:space="preserve">3. R0 upfront on selected 24-month contracts</w:t>
      </w:r>
    </w:p>
    <w:p>
      <w:pPr>
        <w:spacing w:after="120"/>
      </w:pPr>
      <w:r>
        <w:t xml:space="preserve">4. Free Galaxy Buds3 with every pre-order</w:t>
      </w:r>
    </w:p>
    <w:p>
      <w:pPr>
        <w:spacing w:after="40"/>
      </w:pPr>
    </w:p>
    <w:p>
      <w:pPr>
        <w:spacing w:after="80"/>
      </w:pPr>
      <w:r>
        <w:rPr>
          <w:rFonts w:ascii="Arial" w:cs="Arial" w:eastAsia="Arial" w:hAnsi="Arial"/>
          <w:b/>
          <w:bCs/>
          <w:sz w:val="22"/>
          <w:szCs w:val="22"/>
        </w:rPr>
        <w:t xml:space="preserve">Deliverables: </w:t>
      </w: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000"/>
        <w:gridCol w:w="2560"/>
      </w:tblGrid>
      <w:tr>
        <w:tc>
          <w:tcPr>
            <w:tcW w:type="dxa" w:w="2600"/>
            <w:tcBorders>
              <w:top w:val="single" w:color="E0E4E8" w:sz="1"/>
              <w:left w:val="single" w:color="E0E4E8" w:sz="1"/>
              <w:bottom w:val="single" w:color="E0E4E8" w:sz="1"/>
              <w:right w:val="single" w:color="E0E4E8" w:sz="1"/>
            </w:tcBorders>
            <w:shd w:fill="003B73" w:val="clear"/>
            <w:tcMar>
              <w:top w:type="dxa" w:w="80"/>
              <w:left w:type="dxa" w:w="120"/>
              <w:bottom w:type="dxa" w:w="80"/>
              <w:right w:type="dxa" w:w="120"/>
            </w:tcMar>
          </w:tcPr>
          <w:p>
            <w:r>
              <w:rPr>
                <w:rFonts w:ascii="Arial" w:cs="Arial" w:eastAsia="Arial" w:hAnsi="Arial"/>
                <w:b/>
                <w:bCs/>
                <w:color w:val="FFFFFF"/>
                <w:sz w:val="20"/>
                <w:szCs w:val="20"/>
              </w:rPr>
              <w:t xml:space="preserve">Asset</w:t>
            </w:r>
          </w:p>
        </w:tc>
        <w:tc>
          <w:tcPr>
            <w:tcW w:type="dxa" w:w="2200"/>
            <w:tcBorders>
              <w:top w:val="single" w:color="E0E4E8" w:sz="1"/>
              <w:left w:val="single" w:color="E0E4E8" w:sz="1"/>
              <w:bottom w:val="single" w:color="E0E4E8" w:sz="1"/>
              <w:right w:val="single" w:color="E0E4E8" w:sz="1"/>
            </w:tcBorders>
            <w:shd w:fill="003B73"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2000"/>
            <w:tcBorders>
              <w:top w:val="single" w:color="E0E4E8" w:sz="1"/>
              <w:left w:val="single" w:color="E0E4E8" w:sz="1"/>
              <w:bottom w:val="single" w:color="E0E4E8" w:sz="1"/>
              <w:right w:val="single" w:color="E0E4E8" w:sz="1"/>
            </w:tcBorders>
            <w:shd w:fill="003B73" w:val="clear"/>
            <w:tcMar>
              <w:top w:type="dxa" w:w="80"/>
              <w:left w:type="dxa" w:w="120"/>
              <w:bottom w:type="dxa" w:w="80"/>
              <w:right w:type="dxa" w:w="120"/>
            </w:tcMar>
          </w:tcPr>
          <w:p>
            <w:r>
              <w:rPr>
                <w:rFonts w:ascii="Arial" w:cs="Arial" w:eastAsia="Arial" w:hAnsi="Arial"/>
                <w:b/>
                <w:bCs/>
                <w:color w:val="FFFFFF"/>
                <w:sz w:val="20"/>
                <w:szCs w:val="20"/>
              </w:rPr>
              <w:t xml:space="preserve">Quantity</w:t>
            </w:r>
          </w:p>
        </w:tc>
        <w:tc>
          <w:tcPr>
            <w:tcW w:type="dxa" w:w="2560"/>
            <w:tcBorders>
              <w:top w:val="single" w:color="E0E4E8" w:sz="1"/>
              <w:left w:val="single" w:color="E0E4E8" w:sz="1"/>
              <w:bottom w:val="single" w:color="E0E4E8" w:sz="1"/>
              <w:right w:val="single" w:color="E0E4E8" w:sz="1"/>
            </w:tcBorders>
            <w:shd w:fill="003B73" w:val="clear"/>
            <w:tcMar>
              <w:top w:type="dxa" w:w="80"/>
              <w:left w:type="dxa" w:w="120"/>
              <w:bottom w:type="dxa" w:w="80"/>
              <w:right w:type="dxa" w:w="120"/>
            </w:tcMar>
          </w:tcPr>
          <w:p>
            <w:r>
              <w:rPr>
                <w:rFonts w:ascii="Arial" w:cs="Arial" w:eastAsia="Arial" w:hAnsi="Arial"/>
                <w:b/>
                <w:bCs/>
                <w:color w:val="FFFFFF"/>
                <w:sz w:val="20"/>
                <w:szCs w:val="20"/>
              </w:rPr>
              <w:t xml:space="preserve">Production</w:t>
            </w:r>
          </w:p>
        </w:tc>
      </w:tr>
      <w:tr>
        <w:tc>
          <w:tcPr>
            <w:tcW w:type="dxa" w:w="26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A1 In-Store Poster</w:t>
            </w:r>
          </w:p>
        </w:tc>
        <w:tc>
          <w:tcPr>
            <w:tcW w:type="dxa" w:w="22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Print — 841x1189mm</w:t>
            </w:r>
          </w:p>
        </w:tc>
        <w:tc>
          <w:tcPr>
            <w:tcW w:type="dxa" w:w="20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450 stores</w:t>
            </w:r>
          </w:p>
        </w:tc>
        <w:tc>
          <w:tcPr>
            <w:tcW w:type="dxa" w:w="25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WPP Production</w:t>
            </w:r>
          </w:p>
        </w:tc>
      </w:tr>
      <w:tr>
        <w:tc>
          <w:tcPr>
            <w:tcW w:type="dxa" w:w="26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Broadsheet Insert (2pp)</w:t>
            </w:r>
          </w:p>
        </w:tc>
        <w:tc>
          <w:tcPr>
            <w:tcW w:type="dxa" w:w="22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Print — A3 fold</w:t>
            </w:r>
          </w:p>
        </w:tc>
        <w:tc>
          <w:tcPr>
            <w:tcW w:type="dxa" w:w="20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National</w:t>
            </w:r>
          </w:p>
        </w:tc>
        <w:tc>
          <w:tcPr>
            <w:tcW w:type="dxa" w:w="256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VML Studio</w:t>
            </w:r>
          </w:p>
        </w:tc>
      </w:tr>
      <w:tr>
        <w:tc>
          <w:tcPr>
            <w:tcW w:type="dxa" w:w="26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Digital Banner Set</w:t>
            </w:r>
          </w:p>
        </w:tc>
        <w:tc>
          <w:tcPr>
            <w:tcW w:type="dxa" w:w="22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HTML5 — 6 sizes</w:t>
            </w:r>
          </w:p>
        </w:tc>
        <w:tc>
          <w:tcPr>
            <w:tcW w:type="dxa" w:w="20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12 variations</w:t>
            </w:r>
          </w:p>
        </w:tc>
        <w:tc>
          <w:tcPr>
            <w:tcW w:type="dxa" w:w="25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WPP Production</w:t>
            </w:r>
          </w:p>
        </w:tc>
      </w:tr>
      <w:tr>
        <w:tc>
          <w:tcPr>
            <w:tcW w:type="dxa" w:w="26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Social Media Pack</w:t>
            </w:r>
          </w:p>
        </w:tc>
        <w:tc>
          <w:tcPr>
            <w:tcW w:type="dxa" w:w="22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Static + Motion</w:t>
            </w:r>
          </w:p>
        </w:tc>
        <w:tc>
          <w:tcPr>
            <w:tcW w:type="dxa" w:w="20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15 assets</w:t>
            </w:r>
          </w:p>
        </w:tc>
        <w:tc>
          <w:tcPr>
            <w:tcW w:type="dxa" w:w="256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VML Studio</w:t>
            </w:r>
          </w:p>
        </w:tc>
      </w:tr>
      <w:tr>
        <w:tc>
          <w:tcPr>
            <w:tcW w:type="dxa" w:w="26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Store Window Vinyl</w:t>
            </w:r>
          </w:p>
        </w:tc>
        <w:tc>
          <w:tcPr>
            <w:tcW w:type="dxa" w:w="22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Print — custom sizes</w:t>
            </w:r>
          </w:p>
        </w:tc>
        <w:tc>
          <w:tcPr>
            <w:tcW w:type="dxa" w:w="20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120 flagship stores</w:t>
            </w:r>
          </w:p>
        </w:tc>
        <w:tc>
          <w:tcPr>
            <w:tcW w:type="dxa" w:w="25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WPP Production</w:t>
            </w:r>
          </w:p>
        </w:tc>
      </w:tr>
      <w:tr>
        <w:tc>
          <w:tcPr>
            <w:tcW w:type="dxa" w:w="26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Email Campaign</w:t>
            </w:r>
          </w:p>
        </w:tc>
        <w:tc>
          <w:tcPr>
            <w:tcW w:type="dxa" w:w="22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HTML — responsive</w:t>
            </w:r>
          </w:p>
        </w:tc>
        <w:tc>
          <w:tcPr>
            <w:tcW w:type="dxa" w:w="20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3 sends</w:t>
            </w:r>
          </w:p>
        </w:tc>
        <w:tc>
          <w:tcPr>
            <w:tcW w:type="dxa" w:w="256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VML Studio</w:t>
            </w:r>
          </w:p>
        </w:tc>
      </w:tr>
      <w:tr>
        <w:tc>
          <w:tcPr>
            <w:tcW w:type="dxa" w:w="26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WhatsApp Template</w:t>
            </w:r>
          </w:p>
        </w:tc>
        <w:tc>
          <w:tcPr>
            <w:tcW w:type="dxa" w:w="22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Image + CTA</w:t>
            </w:r>
          </w:p>
        </w:tc>
        <w:tc>
          <w:tcPr>
            <w:tcW w:type="dxa" w:w="20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2 variants</w:t>
            </w:r>
          </w:p>
        </w:tc>
        <w:tc>
          <w:tcPr>
            <w:tcW w:type="dxa" w:w="25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VML Studio</w:t>
            </w:r>
          </w:p>
        </w:tc>
      </w:tr>
      <w:tr>
        <w:tc>
          <w:tcPr>
            <w:tcW w:type="dxa" w:w="26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POS Counter Card</w:t>
            </w:r>
          </w:p>
        </w:tc>
        <w:tc>
          <w:tcPr>
            <w:tcW w:type="dxa" w:w="22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Print — A5</w:t>
            </w:r>
          </w:p>
        </w:tc>
        <w:tc>
          <w:tcPr>
            <w:tcW w:type="dxa" w:w="20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450 stores</w:t>
            </w:r>
          </w:p>
        </w:tc>
        <w:tc>
          <w:tcPr>
            <w:tcW w:type="dxa" w:w="256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WPP Production</w:t>
            </w:r>
          </w:p>
        </w:tc>
      </w:tr>
    </w:tbl>
    <w:p>
      <w:pPr>
        <w:spacing w:after="40"/>
      </w:pPr>
    </w:p>
    <w:p>
      <w:pPr>
        <w:spacing w:after="80"/>
      </w:pPr>
      <w:r>
        <w:rPr>
          <w:rFonts w:ascii="Arial" w:cs="Arial" w:eastAsia="Arial" w:hAnsi="Arial"/>
          <w:b/>
          <w:bCs/>
          <w:sz w:val="22"/>
          <w:szCs w:val="22"/>
        </w:rPr>
        <w:t xml:space="preserve">AI Pulse Check Score: </w:t>
      </w:r>
      <w:r>
        <w:rPr>
          <w:rFonts w:ascii="Arial" w:cs="Arial" w:eastAsia="Arial" w:hAnsi="Arial"/>
          <w:sz w:val="22"/>
          <w:szCs w:val="22"/>
        </w:rPr>
        <w:t xml:space="preserve">87/100</w:t>
      </w:r>
    </w:p>
    <w:p>
      <w:pPr>
        <w:spacing w:after="120"/>
      </w:pPr>
      <w:r>
        <w:rPr>
          <w:b/>
          <w:bCs/>
          <w:color w:val="00B140"/>
        </w:rPr>
        <w:t xml:space="preserve">Strengths: </w:t>
      </w:r>
      <w:r>
        <w:t xml:space="preserve">Clear objective, well-defined audience, strong key messages, complete deliverables list.</w:t>
      </w:r>
    </w:p>
    <w:p>
      <w:pPr>
        <w:spacing w:after="120"/>
      </w:pPr>
      <w:r>
        <w:rPr>
          <w:b/>
          <w:bCs/>
          <w:color w:val="CC3300"/>
        </w:rPr>
        <w:t xml:space="preserve">Flags: </w:t>
      </w:r>
      <w:r>
        <w:t xml:space="preserve">Missing: Legal disclaimers for trade-in T&amp;Cs (required). Samsung co-branding guidelines not attached (required before creative start). Budget allocation not specified.</w:t>
      </w:r>
    </w:p>
    <w:p>
      <w:r>
        <w:br w:type="page"/>
      </w:r>
    </w:p>
    <w:p>
      <w:pPr>
        <w:pStyle w:val="Heading2"/>
      </w:pPr>
      <w:r>
        <w:t xml:space="preserve">2.4 Version History — March Broadsheet</w:t>
      </w:r>
    </w:p>
    <w:p>
      <w:pPr>
        <w:spacing w:after="120"/>
      </w:pPr>
      <w:r>
        <w:t xml:space="preserve">Populates the version history / revert adjudication screen: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800"/>
        <w:gridCol w:w="3000"/>
        <w:gridCol w:w="1760"/>
      </w:tblGrid>
      <w:tr>
        <w:tc>
          <w:tcPr>
            <w:tcW w:type="dxa" w:w="1200"/>
            <w:tcBorders>
              <w:top w:val="single" w:color="E0E4E8" w:sz="1"/>
              <w:left w:val="single" w:color="E0E4E8" w:sz="1"/>
              <w:bottom w:val="single" w:color="E0E4E8" w:sz="1"/>
              <w:right w:val="single" w:color="E0E4E8" w:sz="1"/>
            </w:tcBorders>
            <w:shd w:fill="003B73"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600"/>
            <w:tcBorders>
              <w:top w:val="single" w:color="E0E4E8" w:sz="1"/>
              <w:left w:val="single" w:color="E0E4E8" w:sz="1"/>
              <w:bottom w:val="single" w:color="E0E4E8" w:sz="1"/>
              <w:right w:val="single" w:color="E0E4E8" w:sz="1"/>
            </w:tcBorders>
            <w:shd w:fill="003B73"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1800"/>
            <w:tcBorders>
              <w:top w:val="single" w:color="E0E4E8" w:sz="1"/>
              <w:left w:val="single" w:color="E0E4E8" w:sz="1"/>
              <w:bottom w:val="single" w:color="E0E4E8" w:sz="1"/>
              <w:right w:val="single" w:color="E0E4E8" w:sz="1"/>
            </w:tcBorders>
            <w:shd w:fill="003B73" w:val="clear"/>
            <w:tcMar>
              <w:top w:type="dxa" w:w="80"/>
              <w:left w:type="dxa" w:w="120"/>
              <w:bottom w:type="dxa" w:w="80"/>
              <w:right w:type="dxa" w:w="120"/>
            </w:tcMar>
          </w:tcPr>
          <w:p>
            <w:r>
              <w:rPr>
                <w:rFonts w:ascii="Arial" w:cs="Arial" w:eastAsia="Arial" w:hAnsi="Arial"/>
                <w:b/>
                <w:bCs/>
                <w:color w:val="FFFFFF"/>
                <w:sz w:val="20"/>
                <w:szCs w:val="20"/>
              </w:rPr>
              <w:t xml:space="preserve">Changed By</w:t>
            </w:r>
          </w:p>
        </w:tc>
        <w:tc>
          <w:tcPr>
            <w:tcW w:type="dxa" w:w="3000"/>
            <w:tcBorders>
              <w:top w:val="single" w:color="E0E4E8" w:sz="1"/>
              <w:left w:val="single" w:color="E0E4E8" w:sz="1"/>
              <w:bottom w:val="single" w:color="E0E4E8" w:sz="1"/>
              <w:right w:val="single" w:color="E0E4E8" w:sz="1"/>
            </w:tcBorders>
            <w:shd w:fill="003B73" w:val="clear"/>
            <w:tcMar>
              <w:top w:type="dxa" w:w="80"/>
              <w:left w:type="dxa" w:w="120"/>
              <w:bottom w:type="dxa" w:w="80"/>
              <w:right w:type="dxa" w:w="120"/>
            </w:tcMar>
          </w:tcPr>
          <w:p>
            <w:r>
              <w:rPr>
                <w:rFonts w:ascii="Arial" w:cs="Arial" w:eastAsia="Arial" w:hAnsi="Arial"/>
                <w:b/>
                <w:bCs/>
                <w:color w:val="FFFFFF"/>
                <w:sz w:val="20"/>
                <w:szCs w:val="20"/>
              </w:rPr>
              <w:t xml:space="preserve">Changes</w:t>
            </w:r>
          </w:p>
        </w:tc>
        <w:tc>
          <w:tcPr>
            <w:tcW w:type="dxa" w:w="1760"/>
            <w:tcBorders>
              <w:top w:val="single" w:color="E0E4E8" w:sz="1"/>
              <w:left w:val="single" w:color="E0E4E8" w:sz="1"/>
              <w:bottom w:val="single" w:color="E0E4E8" w:sz="1"/>
              <w:right w:val="single" w:color="E0E4E8" w:sz="1"/>
            </w:tcBorders>
            <w:shd w:fill="003B73"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2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v1.0</w:t>
            </w:r>
          </w:p>
        </w:tc>
        <w:tc>
          <w:tcPr>
            <w:tcW w:type="dxa" w:w="16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03 Mar 09:14</w:t>
            </w:r>
          </w:p>
        </w:tc>
        <w:tc>
          <w:tcPr>
            <w:tcW w:type="dxa" w:w="18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Naledi Mahlangu</w:t>
            </w:r>
          </w:p>
        </w:tc>
        <w:tc>
          <w:tcPr>
            <w:tcW w:type="dxa" w:w="30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Initial brief submitted</w:t>
            </w:r>
          </w:p>
        </w:tc>
        <w:tc>
          <w:tcPr>
            <w:tcW w:type="dxa" w:w="17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Superseded</w:t>
            </w:r>
          </w:p>
        </w:tc>
      </w:tr>
      <w:tr>
        <w:tc>
          <w:tcPr>
            <w:tcW w:type="dxa" w:w="12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v1.1</w:t>
            </w:r>
          </w:p>
        </w:tc>
        <w:tc>
          <w:tcPr>
            <w:tcW w:type="dxa" w:w="16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03 Mar 14:22</w:t>
            </w:r>
          </w:p>
        </w:tc>
        <w:tc>
          <w:tcPr>
            <w:tcW w:type="dxa" w:w="18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David Botha</w:t>
            </w:r>
          </w:p>
        </w:tc>
        <w:tc>
          <w:tcPr>
            <w:tcW w:type="dxa" w:w="30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Strategy alignment edits — refined audience segmentation</w:t>
            </w:r>
          </w:p>
        </w:tc>
        <w:tc>
          <w:tcPr>
            <w:tcW w:type="dxa" w:w="176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Superseded</w:t>
            </w:r>
          </w:p>
        </w:tc>
      </w:tr>
      <w:tr>
        <w:tc>
          <w:tcPr>
            <w:tcW w:type="dxa" w:w="12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v2.0</w:t>
            </w:r>
          </w:p>
        </w:tc>
        <w:tc>
          <w:tcPr>
            <w:tcW w:type="dxa" w:w="16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05 Mar 10:00</w:t>
            </w:r>
          </w:p>
        </w:tc>
        <w:tc>
          <w:tcPr>
            <w:tcW w:type="dxa" w:w="18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James van der Merwe</w:t>
            </w:r>
          </w:p>
        </w:tc>
        <w:tc>
          <w:tcPr>
            <w:tcW w:type="dxa" w:w="30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First creative concepts — 3 layout options</w:t>
            </w:r>
          </w:p>
        </w:tc>
        <w:tc>
          <w:tcPr>
            <w:tcW w:type="dxa" w:w="17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Superseded</w:t>
            </w:r>
          </w:p>
        </w:tc>
      </w:tr>
      <w:tr>
        <w:tc>
          <w:tcPr>
            <w:tcW w:type="dxa" w:w="12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v2.1</w:t>
            </w:r>
          </w:p>
        </w:tc>
        <w:tc>
          <w:tcPr>
            <w:tcW w:type="dxa" w:w="16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06 Mar 11:45</w:t>
            </w:r>
          </w:p>
        </w:tc>
        <w:tc>
          <w:tcPr>
            <w:tcW w:type="dxa" w:w="18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Fatima Cassim</w:t>
            </w:r>
          </w:p>
        </w:tc>
        <w:tc>
          <w:tcPr>
            <w:tcW w:type="dxa" w:w="30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Brand Guardian scan — 4 CI violations flagged</w:t>
            </w:r>
          </w:p>
        </w:tc>
        <w:tc>
          <w:tcPr>
            <w:tcW w:type="dxa" w:w="176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Superseded</w:t>
            </w:r>
          </w:p>
        </w:tc>
      </w:tr>
      <w:tr>
        <w:tc>
          <w:tcPr>
            <w:tcW w:type="dxa" w:w="12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v2.2</w:t>
            </w:r>
          </w:p>
        </w:tc>
        <w:tc>
          <w:tcPr>
            <w:tcW w:type="dxa" w:w="16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06 Mar 16:30</w:t>
            </w:r>
          </w:p>
        </w:tc>
        <w:tc>
          <w:tcPr>
            <w:tcW w:type="dxa" w:w="18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James van der Merwe</w:t>
            </w:r>
          </w:p>
        </w:tc>
        <w:tc>
          <w:tcPr>
            <w:tcW w:type="dxa" w:w="30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CI corrections applied — all 4 violations resolved</w:t>
            </w:r>
          </w:p>
        </w:tc>
        <w:tc>
          <w:tcPr>
            <w:tcW w:type="dxa" w:w="17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Superseded</w:t>
            </w:r>
          </w:p>
        </w:tc>
      </w:tr>
      <w:tr>
        <w:tc>
          <w:tcPr>
            <w:tcW w:type="dxa" w:w="12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v3.0</w:t>
            </w:r>
          </w:p>
        </w:tc>
        <w:tc>
          <w:tcPr>
            <w:tcW w:type="dxa" w:w="16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10 Mar 09:00</w:t>
            </w:r>
          </w:p>
        </w:tc>
        <w:tc>
          <w:tcPr>
            <w:tcW w:type="dxa" w:w="18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Lerato Dlamini</w:t>
            </w:r>
          </w:p>
        </w:tc>
        <w:tc>
          <w:tcPr>
            <w:tcW w:type="dxa" w:w="30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Creative Director review — layout 2 selected, refinements</w:t>
            </w:r>
          </w:p>
        </w:tc>
        <w:tc>
          <w:tcPr>
            <w:tcW w:type="dxa" w:w="176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Superseded</w:t>
            </w:r>
          </w:p>
        </w:tc>
      </w:tr>
      <w:tr>
        <w:tc>
          <w:tcPr>
            <w:tcW w:type="dxa" w:w="12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v3.1</w:t>
            </w:r>
          </w:p>
        </w:tc>
        <w:tc>
          <w:tcPr>
            <w:tcW w:type="dxa" w:w="16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11 Mar 14:00</w:t>
            </w:r>
          </w:p>
        </w:tc>
        <w:tc>
          <w:tcPr>
            <w:tcW w:type="dxa" w:w="18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Naledi Mahlangu</w:t>
            </w:r>
          </w:p>
        </w:tc>
        <w:tc>
          <w:tcPr>
            <w:tcW w:type="dxa" w:w="30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Client feedback — pricing table updates, hero image swap</w:t>
            </w:r>
          </w:p>
        </w:tc>
        <w:tc>
          <w:tcPr>
            <w:tcW w:type="dxa" w:w="17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Superseded</w:t>
            </w:r>
          </w:p>
        </w:tc>
      </w:tr>
      <w:tr>
        <w:tc>
          <w:tcPr>
            <w:tcW w:type="dxa" w:w="12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v3.2</w:t>
            </w:r>
          </w:p>
        </w:tc>
        <w:tc>
          <w:tcPr>
            <w:tcW w:type="dxa" w:w="16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12 Mar 10:30</w:t>
            </w:r>
          </w:p>
        </w:tc>
        <w:tc>
          <w:tcPr>
            <w:tcW w:type="dxa" w:w="18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James van der Merwe</w:t>
            </w:r>
          </w:p>
        </w:tc>
        <w:tc>
          <w:tcPr>
            <w:tcW w:type="dxa" w:w="30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Pricing corrections, new hero image placed</w:t>
            </w:r>
          </w:p>
        </w:tc>
        <w:tc>
          <w:tcPr>
            <w:tcW w:type="dxa" w:w="176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Current</w:t>
            </w:r>
          </w:p>
        </w:tc>
      </w:tr>
      <w:tr>
        <w:tc>
          <w:tcPr>
            <w:tcW w:type="dxa" w:w="12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REVERT REQUEST</w:t>
            </w:r>
          </w:p>
        </w:tc>
        <w:tc>
          <w:tcPr>
            <w:tcW w:type="dxa" w:w="16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12 Mar 15:45</w:t>
            </w:r>
          </w:p>
        </w:tc>
        <w:tc>
          <w:tcPr>
            <w:tcW w:type="dxa" w:w="18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Sipho Ndlovu</w:t>
            </w:r>
          </w:p>
        </w:tc>
        <w:tc>
          <w:tcPr>
            <w:tcW w:type="dxa" w:w="30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Requested revert to v3.0 hero image</w:t>
            </w:r>
          </w:p>
        </w:tc>
        <w:tc>
          <w:tcPr>
            <w:tcW w:type="dxa" w:w="17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Pending Adjudication</w:t>
            </w:r>
          </w:p>
        </w:tc>
      </w:tr>
    </w:tbl>
    <w:p>
      <w:pPr>
        <w:spacing w:after="80"/>
      </w:pPr>
    </w:p>
    <w:p>
      <w:pPr>
        <w:pStyle w:val="Heading3"/>
      </w:pPr>
      <w:r>
        <w:t xml:space="preserve">Revert Adjudication Detail</w:t>
      </w:r>
    </w:p>
    <w:p>
      <w:pPr>
        <w:spacing w:after="80"/>
      </w:pPr>
      <w:r>
        <w:rPr>
          <w:rFonts w:ascii="Arial" w:cs="Arial" w:eastAsia="Arial" w:hAnsi="Arial"/>
          <w:b/>
          <w:bCs/>
          <w:sz w:val="22"/>
          <w:szCs w:val="22"/>
        </w:rPr>
        <w:t xml:space="preserve">Revert Requested By: </w:t>
      </w:r>
      <w:r>
        <w:rPr>
          <w:rFonts w:ascii="Arial" w:cs="Arial" w:eastAsia="Arial" w:hAnsi="Arial"/>
          <w:sz w:val="22"/>
          <w:szCs w:val="22"/>
        </w:rPr>
        <w:t xml:space="preserve">Sipho Ndlovu (Telkom Marketing Director)</w:t>
      </w:r>
    </w:p>
    <w:p>
      <w:pPr>
        <w:spacing w:after="80"/>
      </w:pPr>
      <w:r>
        <w:rPr>
          <w:rFonts w:ascii="Arial" w:cs="Arial" w:eastAsia="Arial" w:hAnsi="Arial"/>
          <w:b/>
          <w:bCs/>
          <w:sz w:val="22"/>
          <w:szCs w:val="22"/>
        </w:rPr>
        <w:t xml:space="preserve">Revert Target: </w:t>
      </w:r>
      <w:r>
        <w:rPr>
          <w:rFonts w:ascii="Arial" w:cs="Arial" w:eastAsia="Arial" w:hAnsi="Arial"/>
          <w:sz w:val="22"/>
          <w:szCs w:val="22"/>
        </w:rPr>
        <w:t xml:space="preserve">v3.0 (hero image)</w:t>
      </w:r>
    </w:p>
    <w:p>
      <w:pPr>
        <w:spacing w:after="80"/>
      </w:pPr>
      <w:r>
        <w:rPr>
          <w:rFonts w:ascii="Arial" w:cs="Arial" w:eastAsia="Arial" w:hAnsi="Arial"/>
          <w:b/>
          <w:bCs/>
          <w:sz w:val="22"/>
          <w:szCs w:val="22"/>
        </w:rPr>
        <w:t xml:space="preserve">AI Analysis: </w:t>
      </w:r>
      <w:r>
        <w:rPr>
          <w:rFonts w:ascii="Arial" w:cs="Arial" w:eastAsia="Arial" w:hAnsi="Arial"/>
          <w:sz w:val="22"/>
          <w:szCs w:val="22"/>
        </w:rPr>
        <w:t xml:space="preserve"/>
      </w:r>
    </w:p>
    <w:p>
      <w:pPr>
        <w:spacing w:after="120"/>
      </w:pPr>
      <w:r>
        <w:t xml:space="preserve">The hero image was changed in v3.1 at Naledi Mahlangu's request (client-initiated). The current request to revert is also client-initiated. AI classification: CLIENT CHANGE — no agency responsibility. Recommendation: Approve revert, log as client revision cycle. Impact: +0.5 day to timeline (re-approval of affected panels required).</w:t>
      </w:r>
    </w:p>
    <w:p>
      <w:r>
        <w:br w:type="page"/>
      </w:r>
    </w:p>
    <w:p>
      <w:pPr>
        <w:pStyle w:val="Heading2"/>
      </w:pPr>
      <w:r>
        <w:t xml:space="preserve">2.5 Circulation Dashboard Data</w:t>
      </w:r>
    </w:p>
    <w:p>
      <w:pPr>
        <w:spacing w:after="120"/>
      </w:pPr>
      <w:r>
        <w:t xml:space="preserve">Populates the main Circulation Dashboard with KPI tiles, charts, and trend lines:</w:t>
      </w:r>
    </w:p>
    <w:p>
      <w:pPr>
        <w:spacing w:after="40"/>
      </w:pPr>
    </w:p>
    <w:p>
      <w:pPr>
        <w:pStyle w:val="Heading3"/>
      </w:pPr>
      <w:r>
        <w:t xml:space="preserve">KPI Summary Tiles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400"/>
        <w:gridCol w:w="2360"/>
      </w:tblGrid>
      <w:tr>
        <w:tc>
          <w:tcPr>
            <w:tcW w:type="dxa" w:w="2800"/>
            <w:tcBorders>
              <w:top w:val="single" w:color="E0E4E8" w:sz="1"/>
              <w:left w:val="single" w:color="E0E4E8" w:sz="1"/>
              <w:bottom w:val="single" w:color="E0E4E8" w:sz="1"/>
              <w:right w:val="single" w:color="E0E4E8" w:sz="1"/>
            </w:tcBorders>
            <w:shd w:fill="003B73" w:val="clear"/>
            <w:tcMar>
              <w:top w:type="dxa" w:w="80"/>
              <w:left w:type="dxa" w:w="120"/>
              <w:bottom w:type="dxa" w:w="80"/>
              <w:right w:type="dxa" w:w="120"/>
            </w:tcMar>
          </w:tcPr>
          <w:p>
            <w:r>
              <w:rPr>
                <w:rFonts w:ascii="Arial" w:cs="Arial" w:eastAsia="Arial" w:hAnsi="Arial"/>
                <w:b/>
                <w:bCs/>
                <w:color w:val="FFFFFF"/>
                <w:sz w:val="20"/>
                <w:szCs w:val="20"/>
              </w:rPr>
              <w:t xml:space="preserve">KPI</w:t>
            </w:r>
          </w:p>
        </w:tc>
        <w:tc>
          <w:tcPr>
            <w:tcW w:type="dxa" w:w="1800"/>
            <w:tcBorders>
              <w:top w:val="single" w:color="E0E4E8" w:sz="1"/>
              <w:left w:val="single" w:color="E0E4E8" w:sz="1"/>
              <w:bottom w:val="single" w:color="E0E4E8" w:sz="1"/>
              <w:right w:val="single" w:color="E0E4E8" w:sz="1"/>
            </w:tcBorders>
            <w:shd w:fill="003B73"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2400"/>
            <w:tcBorders>
              <w:top w:val="single" w:color="E0E4E8" w:sz="1"/>
              <w:left w:val="single" w:color="E0E4E8" w:sz="1"/>
              <w:bottom w:val="single" w:color="E0E4E8" w:sz="1"/>
              <w:right w:val="single" w:color="E0E4E8" w:sz="1"/>
            </w:tcBorders>
            <w:shd w:fill="003B73" w:val="clear"/>
            <w:tcMar>
              <w:top w:type="dxa" w:w="80"/>
              <w:left w:type="dxa" w:w="120"/>
              <w:bottom w:type="dxa" w:w="80"/>
              <w:right w:type="dxa" w:w="120"/>
            </w:tcMar>
          </w:tcPr>
          <w:p>
            <w:r>
              <w:rPr>
                <w:rFonts w:ascii="Arial" w:cs="Arial" w:eastAsia="Arial" w:hAnsi="Arial"/>
                <w:b/>
                <w:bCs/>
                <w:color w:val="FFFFFF"/>
                <w:sz w:val="20"/>
                <w:szCs w:val="20"/>
              </w:rPr>
              <w:t xml:space="preserve">Trend</w:t>
            </w:r>
          </w:p>
        </w:tc>
        <w:tc>
          <w:tcPr>
            <w:tcW w:type="dxa" w:w="2360"/>
            <w:tcBorders>
              <w:top w:val="single" w:color="E0E4E8" w:sz="1"/>
              <w:left w:val="single" w:color="E0E4E8" w:sz="1"/>
              <w:bottom w:val="single" w:color="E0E4E8" w:sz="1"/>
              <w:right w:val="single" w:color="E0E4E8" w:sz="1"/>
            </w:tcBorders>
            <w:shd w:fill="003B73"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28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Active Campaigns</w:t>
            </w:r>
          </w:p>
        </w:tc>
        <w:tc>
          <w:tcPr>
            <w:tcW w:type="dxa" w:w="18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10</w:t>
            </w:r>
          </w:p>
        </w:tc>
        <w:tc>
          <w:tcPr>
            <w:tcW w:type="dxa" w:w="24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+2 vs last month</w:t>
            </w:r>
          </w:p>
        </w:tc>
        <w:tc>
          <w:tcPr>
            <w:tcW w:type="dxa" w:w="23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8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Pipeline Velocity (avg)</w:t>
            </w:r>
          </w:p>
        </w:tc>
        <w:tc>
          <w:tcPr>
            <w:tcW w:type="dxa" w:w="18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14.2 days</w:t>
            </w:r>
          </w:p>
        </w:tc>
        <w:tc>
          <w:tcPr>
            <w:tcW w:type="dxa" w:w="24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-1.8 days vs Feb</w:t>
            </w:r>
          </w:p>
        </w:tc>
        <w:tc>
          <w:tcPr>
            <w:tcW w:type="dxa" w:w="236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&lt; 18 days</w:t>
            </w:r>
          </w:p>
        </w:tc>
      </w:tr>
      <w:tr>
        <w:tc>
          <w:tcPr>
            <w:tcW w:type="dxa" w:w="28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Brief Completeness (avg)</w:t>
            </w:r>
          </w:p>
        </w:tc>
        <w:tc>
          <w:tcPr>
            <w:tcW w:type="dxa" w:w="18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84%</w:t>
            </w:r>
          </w:p>
        </w:tc>
        <w:tc>
          <w:tcPr>
            <w:tcW w:type="dxa" w:w="24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+6% vs Feb</w:t>
            </w:r>
          </w:p>
        </w:tc>
        <w:tc>
          <w:tcPr>
            <w:tcW w:type="dxa" w:w="23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&gt; 80%</w:t>
            </w:r>
          </w:p>
        </w:tc>
      </w:tr>
      <w:tr>
        <w:tc>
          <w:tcPr>
            <w:tcW w:type="dxa" w:w="28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Brand Guardian Pass Rate</w:t>
            </w:r>
          </w:p>
        </w:tc>
        <w:tc>
          <w:tcPr>
            <w:tcW w:type="dxa" w:w="18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91%</w:t>
            </w:r>
          </w:p>
        </w:tc>
        <w:tc>
          <w:tcPr>
            <w:tcW w:type="dxa" w:w="24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+4% vs Feb</w:t>
            </w:r>
          </w:p>
        </w:tc>
        <w:tc>
          <w:tcPr>
            <w:tcW w:type="dxa" w:w="236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&gt; 85%</w:t>
            </w:r>
          </w:p>
        </w:tc>
      </w:tr>
      <w:tr>
        <w:tc>
          <w:tcPr>
            <w:tcW w:type="dxa" w:w="28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Revert Rate</w:t>
            </w:r>
          </w:p>
        </w:tc>
        <w:tc>
          <w:tcPr>
            <w:tcW w:type="dxa" w:w="18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12%</w:t>
            </w:r>
          </w:p>
        </w:tc>
        <w:tc>
          <w:tcPr>
            <w:tcW w:type="dxa" w:w="24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-3% vs Feb</w:t>
            </w:r>
          </w:p>
        </w:tc>
        <w:tc>
          <w:tcPr>
            <w:tcW w:type="dxa" w:w="23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&lt; 15%</w:t>
            </w:r>
          </w:p>
        </w:tc>
      </w:tr>
      <w:tr>
        <w:tc>
          <w:tcPr>
            <w:tcW w:type="dxa" w:w="28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On-Time Delivery</w:t>
            </w:r>
          </w:p>
        </w:tc>
        <w:tc>
          <w:tcPr>
            <w:tcW w:type="dxa" w:w="18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88%</w:t>
            </w:r>
          </w:p>
        </w:tc>
        <w:tc>
          <w:tcPr>
            <w:tcW w:type="dxa" w:w="24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+5% vs Feb</w:t>
            </w:r>
          </w:p>
        </w:tc>
        <w:tc>
          <w:tcPr>
            <w:tcW w:type="dxa" w:w="236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&gt; 90%</w:t>
            </w:r>
          </w:p>
        </w:tc>
      </w:tr>
      <w:tr>
        <w:tc>
          <w:tcPr>
            <w:tcW w:type="dxa" w:w="28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AI Time Savings (month)</w:t>
            </w:r>
          </w:p>
        </w:tc>
        <w:tc>
          <w:tcPr>
            <w:tcW w:type="dxa" w:w="18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47 hours</w:t>
            </w:r>
          </w:p>
        </w:tc>
        <w:tc>
          <w:tcPr>
            <w:tcW w:type="dxa" w:w="24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+12 hrs vs Feb</w:t>
            </w:r>
          </w:p>
        </w:tc>
        <w:tc>
          <w:tcPr>
            <w:tcW w:type="dxa" w:w="23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8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Client Response Time (avg)</w:t>
            </w:r>
          </w:p>
        </w:tc>
        <w:tc>
          <w:tcPr>
            <w:tcW w:type="dxa" w:w="18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1.4 days</w:t>
            </w:r>
          </w:p>
        </w:tc>
        <w:tc>
          <w:tcPr>
            <w:tcW w:type="dxa" w:w="24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-0.3 days vs Feb</w:t>
            </w:r>
          </w:p>
        </w:tc>
        <w:tc>
          <w:tcPr>
            <w:tcW w:type="dxa" w:w="236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&lt; 2 days</w:t>
            </w:r>
          </w:p>
        </w:tc>
      </w:tr>
      <w:tr>
        <w:tc>
          <w:tcPr>
            <w:tcW w:type="dxa" w:w="28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DTP Correction Frequency</w:t>
            </w:r>
          </w:p>
        </w:tc>
        <w:tc>
          <w:tcPr>
            <w:tcW w:type="dxa" w:w="18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2.1 per campaign</w:t>
            </w:r>
          </w:p>
        </w:tc>
        <w:tc>
          <w:tcPr>
            <w:tcW w:type="dxa" w:w="24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-0.7 vs Feb</w:t>
            </w:r>
          </w:p>
        </w:tc>
        <w:tc>
          <w:tcPr>
            <w:tcW w:type="dxa" w:w="23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&lt; 3</w:t>
            </w:r>
          </w:p>
        </w:tc>
      </w:tr>
      <w:tr>
        <w:tc>
          <w:tcPr>
            <w:tcW w:type="dxa" w:w="28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Governance Packs Generated</w:t>
            </w:r>
          </w:p>
        </w:tc>
        <w:tc>
          <w:tcPr>
            <w:tcW w:type="dxa" w:w="18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6</w:t>
            </w:r>
          </w:p>
        </w:tc>
        <w:tc>
          <w:tcPr>
            <w:tcW w:type="dxa" w:w="24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On track</w:t>
            </w:r>
          </w:p>
        </w:tc>
        <w:tc>
          <w:tcPr>
            <w:tcW w:type="dxa" w:w="236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w:t>
            </w:r>
          </w:p>
        </w:tc>
      </w:tr>
    </w:tbl>
    <w:p>
      <w:pPr>
        <w:spacing w:after="80"/>
      </w:pPr>
    </w:p>
    <w:p>
      <w:pPr>
        <w:pStyle w:val="Heading3"/>
      </w:pPr>
      <w:r>
        <w:t xml:space="preserve">Pipeline by Phase (Bar Chart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E0E4E8" w:sz="1"/>
              <w:left w:val="single" w:color="E0E4E8" w:sz="1"/>
              <w:bottom w:val="single" w:color="E0E4E8" w:sz="1"/>
              <w:right w:val="single" w:color="E0E4E8" w:sz="1"/>
            </w:tcBorders>
            <w:shd w:fill="003B73"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000"/>
            <w:tcBorders>
              <w:top w:val="single" w:color="E0E4E8" w:sz="1"/>
              <w:left w:val="single" w:color="E0E4E8" w:sz="1"/>
              <w:bottom w:val="single" w:color="E0E4E8" w:sz="1"/>
              <w:right w:val="single" w:color="E0E4E8" w:sz="1"/>
            </w:tcBorders>
            <w:shd w:fill="003B73"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4160"/>
            <w:tcBorders>
              <w:top w:val="single" w:color="E0E4E8" w:sz="1"/>
              <w:left w:val="single" w:color="E0E4E8" w:sz="1"/>
              <w:bottom w:val="single" w:color="E0E4E8" w:sz="1"/>
              <w:right w:val="single" w:color="E0E4E8" w:sz="1"/>
            </w:tcBorders>
            <w:shd w:fill="003B73" w:val="clear"/>
            <w:tcMar>
              <w:top w:type="dxa" w:w="80"/>
              <w:left w:type="dxa" w:w="120"/>
              <w:bottom w:type="dxa" w:w="80"/>
              <w:right w:type="dxa" w:w="120"/>
            </w:tcMar>
          </w:tcPr>
          <w:p>
            <w:r>
              <w:rPr>
                <w:rFonts w:ascii="Arial" w:cs="Arial" w:eastAsia="Arial" w:hAnsi="Arial"/>
                <w:b/>
                <w:bCs/>
                <w:color w:val="FFFFFF"/>
                <w:sz w:val="20"/>
                <w:szCs w:val="20"/>
              </w:rPr>
              <w:t xml:space="preserve">Colour</w:t>
            </w:r>
          </w:p>
        </w:tc>
      </w:tr>
      <w:tr>
        <w:tc>
          <w:tcPr>
            <w:tcW w:type="dxa" w:w="32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Discover</w:t>
            </w:r>
          </w:p>
        </w:tc>
        <w:tc>
          <w:tcPr>
            <w:tcW w:type="dxa" w:w="20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1</w:t>
            </w:r>
          </w:p>
        </w:tc>
        <w:tc>
          <w:tcPr>
            <w:tcW w:type="dxa" w:w="41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Light Blue (#0077C8)</w:t>
            </w:r>
          </w:p>
        </w:tc>
      </w:tr>
      <w:tr>
        <w:tc>
          <w:tcPr>
            <w:tcW w:type="dxa" w:w="32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Define</w:t>
            </w:r>
          </w:p>
        </w:tc>
        <w:tc>
          <w:tcPr>
            <w:tcW w:type="dxa" w:w="20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2</w:t>
            </w:r>
          </w:p>
        </w:tc>
        <w:tc>
          <w:tcPr>
            <w:tcW w:type="dxa" w:w="416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Blue (#003B73)</w:t>
            </w:r>
          </w:p>
        </w:tc>
      </w:tr>
      <w:tr>
        <w:tc>
          <w:tcPr>
            <w:tcW w:type="dxa" w:w="32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Develop</w:t>
            </w:r>
          </w:p>
        </w:tc>
        <w:tc>
          <w:tcPr>
            <w:tcW w:type="dxa" w:w="20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3</w:t>
            </w:r>
          </w:p>
        </w:tc>
        <w:tc>
          <w:tcPr>
            <w:tcW w:type="dxa" w:w="41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Green (#00B140)</w:t>
            </w:r>
          </w:p>
        </w:tc>
      </w:tr>
      <w:tr>
        <w:tc>
          <w:tcPr>
            <w:tcW w:type="dxa" w:w="32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Deliver</w:t>
            </w:r>
          </w:p>
        </w:tc>
        <w:tc>
          <w:tcPr>
            <w:tcW w:type="dxa" w:w="20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2</w:t>
            </w:r>
          </w:p>
        </w:tc>
        <w:tc>
          <w:tcPr>
            <w:tcW w:type="dxa" w:w="416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Orange (#FF8C00)</w:t>
            </w:r>
          </w:p>
        </w:tc>
      </w:tr>
      <w:tr>
        <w:tc>
          <w:tcPr>
            <w:tcW w:type="dxa" w:w="32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Diagnose</w:t>
            </w:r>
          </w:p>
        </w:tc>
        <w:tc>
          <w:tcPr>
            <w:tcW w:type="dxa" w:w="20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1</w:t>
            </w:r>
          </w:p>
        </w:tc>
        <w:tc>
          <w:tcPr>
            <w:tcW w:type="dxa" w:w="41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Grey (#4A4A4A)</w:t>
            </w:r>
          </w:p>
        </w:tc>
      </w:tr>
    </w:tbl>
    <w:p>
      <w:pPr>
        <w:spacing w:after="80"/>
      </w:pPr>
    </w:p>
    <w:p>
      <w:pPr>
        <w:pStyle w:val="Heading3"/>
      </w:pPr>
      <w:r>
        <w:t xml:space="preserve">Campaign Tier Distribution (Donut Chart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c>
          <w:tcPr>
            <w:tcW w:type="dxa" w:w="3200"/>
            <w:tcBorders>
              <w:top w:val="single" w:color="E0E4E8" w:sz="1"/>
              <w:left w:val="single" w:color="E0E4E8" w:sz="1"/>
              <w:bottom w:val="single" w:color="E0E4E8" w:sz="1"/>
              <w:right w:val="single" w:color="E0E4E8" w:sz="1"/>
            </w:tcBorders>
            <w:shd w:fill="003B73"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3000"/>
            <w:tcBorders>
              <w:top w:val="single" w:color="E0E4E8" w:sz="1"/>
              <w:left w:val="single" w:color="E0E4E8" w:sz="1"/>
              <w:bottom w:val="single" w:color="E0E4E8" w:sz="1"/>
              <w:right w:val="single" w:color="E0E4E8" w:sz="1"/>
            </w:tcBorders>
            <w:shd w:fill="003B73"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3160"/>
            <w:tcBorders>
              <w:top w:val="single" w:color="E0E4E8" w:sz="1"/>
              <w:left w:val="single" w:color="E0E4E8" w:sz="1"/>
              <w:bottom w:val="single" w:color="E0E4E8" w:sz="1"/>
              <w:right w:val="single" w:color="E0E4E8" w:sz="1"/>
            </w:tcBorders>
            <w:shd w:fill="003B73" w:val="clear"/>
            <w:tcMar>
              <w:top w:type="dxa" w:w="80"/>
              <w:left w:type="dxa" w:w="120"/>
              <w:bottom w:type="dxa" w:w="80"/>
              <w:right w:type="dxa" w:w="120"/>
            </w:tcMar>
          </w:tcPr>
          <w:p>
            <w:r>
              <w:rPr>
                <w:rFonts w:ascii="Arial" w:cs="Arial" w:eastAsia="Arial" w:hAnsi="Arial"/>
                <w:b/>
                <w:bCs/>
                <w:color w:val="FFFFFF"/>
                <w:sz w:val="20"/>
                <w:szCs w:val="20"/>
              </w:rPr>
              <w:t xml:space="preserve">Percentage</w:t>
            </w:r>
          </w:p>
        </w:tc>
      </w:tr>
      <w:tr>
        <w:tc>
          <w:tcPr>
            <w:tcW w:type="dxa" w:w="32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Platinum</w:t>
            </w:r>
          </w:p>
        </w:tc>
        <w:tc>
          <w:tcPr>
            <w:tcW w:type="dxa" w:w="30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2</w:t>
            </w:r>
          </w:p>
        </w:tc>
        <w:tc>
          <w:tcPr>
            <w:tcW w:type="dxa" w:w="31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20%</w:t>
            </w:r>
          </w:p>
        </w:tc>
      </w:tr>
      <w:tr>
        <w:tc>
          <w:tcPr>
            <w:tcW w:type="dxa" w:w="32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Gold</w:t>
            </w:r>
          </w:p>
        </w:tc>
        <w:tc>
          <w:tcPr>
            <w:tcW w:type="dxa" w:w="30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3</w:t>
            </w:r>
          </w:p>
        </w:tc>
        <w:tc>
          <w:tcPr>
            <w:tcW w:type="dxa" w:w="316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30%</w:t>
            </w:r>
          </w:p>
        </w:tc>
      </w:tr>
      <w:tr>
        <w:tc>
          <w:tcPr>
            <w:tcW w:type="dxa" w:w="32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Silver</w:t>
            </w:r>
          </w:p>
        </w:tc>
        <w:tc>
          <w:tcPr>
            <w:tcW w:type="dxa" w:w="30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3</w:t>
            </w:r>
          </w:p>
        </w:tc>
        <w:tc>
          <w:tcPr>
            <w:tcW w:type="dxa" w:w="31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30%</w:t>
            </w:r>
          </w:p>
        </w:tc>
      </w:tr>
      <w:tr>
        <w:tc>
          <w:tcPr>
            <w:tcW w:type="dxa" w:w="32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Bronze</w:t>
            </w:r>
          </w:p>
        </w:tc>
        <w:tc>
          <w:tcPr>
            <w:tcW w:type="dxa" w:w="30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2</w:t>
            </w:r>
          </w:p>
        </w:tc>
        <w:tc>
          <w:tcPr>
            <w:tcW w:type="dxa" w:w="316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20%</w:t>
            </w:r>
          </w:p>
        </w:tc>
      </w:tr>
    </w:tbl>
    <w:p>
      <w:pPr>
        <w:spacing w:after="80"/>
      </w:pPr>
    </w:p>
    <w:p>
      <w:pPr>
        <w:pStyle w:val="Heading3"/>
      </w:pPr>
      <w:r>
        <w:t xml:space="preserve">Weekly Velocity Trend (Line Chart — 12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000"/>
        <w:gridCol w:w="2360"/>
      </w:tblGrid>
      <w:tr>
        <w:tc>
          <w:tcPr>
            <w:tcW w:type="dxa" w:w="2200"/>
            <w:tcBorders>
              <w:top w:val="single" w:color="E0E4E8" w:sz="1"/>
              <w:left w:val="single" w:color="E0E4E8" w:sz="1"/>
              <w:bottom w:val="single" w:color="E0E4E8" w:sz="1"/>
              <w:right w:val="single" w:color="E0E4E8" w:sz="1"/>
            </w:tcBorders>
            <w:shd w:fill="003B73"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2800"/>
            <w:tcBorders>
              <w:top w:val="single" w:color="E0E4E8" w:sz="1"/>
              <w:left w:val="single" w:color="E0E4E8" w:sz="1"/>
              <w:bottom w:val="single" w:color="E0E4E8" w:sz="1"/>
              <w:right w:val="single" w:color="E0E4E8" w:sz="1"/>
            </w:tcBorders>
            <w:shd w:fill="003B73" w:val="clear"/>
            <w:tcMar>
              <w:top w:type="dxa" w:w="80"/>
              <w:left w:type="dxa" w:w="120"/>
              <w:bottom w:type="dxa" w:w="80"/>
              <w:right w:type="dxa" w:w="120"/>
            </w:tcMar>
          </w:tcPr>
          <w:p>
            <w:r>
              <w:rPr>
                <w:rFonts w:ascii="Arial" w:cs="Arial" w:eastAsia="Arial" w:hAnsi="Arial"/>
                <w:b/>
                <w:bCs/>
                <w:color w:val="FFFFFF"/>
                <w:sz w:val="20"/>
                <w:szCs w:val="20"/>
              </w:rPr>
              <w:t xml:space="preserve">Avg Days Brief→Delivery</w:t>
            </w:r>
          </w:p>
        </w:tc>
        <w:tc>
          <w:tcPr>
            <w:tcW w:type="dxa" w:w="2000"/>
            <w:tcBorders>
              <w:top w:val="single" w:color="E0E4E8" w:sz="1"/>
              <w:left w:val="single" w:color="E0E4E8" w:sz="1"/>
              <w:bottom w:val="single" w:color="E0E4E8" w:sz="1"/>
              <w:right w:val="single" w:color="E0E4E8" w:sz="1"/>
            </w:tcBorders>
            <w:shd w:fill="003B73" w:val="clear"/>
            <w:tcMar>
              <w:top w:type="dxa" w:w="80"/>
              <w:left w:type="dxa" w:w="120"/>
              <w:bottom w:type="dxa" w:w="80"/>
              <w:right w:type="dxa" w:w="120"/>
            </w:tcMar>
          </w:tcPr>
          <w:p>
            <w:r>
              <w:rPr>
                <w:rFonts w:ascii="Arial" w:cs="Arial" w:eastAsia="Arial" w:hAnsi="Arial"/>
                <w:b/>
                <w:bCs/>
                <w:color w:val="FFFFFF"/>
                <w:sz w:val="20"/>
                <w:szCs w:val="20"/>
              </w:rPr>
              <w:t xml:space="preserve">Revert Rate %</w:t>
            </w:r>
          </w:p>
        </w:tc>
        <w:tc>
          <w:tcPr>
            <w:tcW w:type="dxa" w:w="2360"/>
            <w:tcBorders>
              <w:top w:val="single" w:color="E0E4E8" w:sz="1"/>
              <w:left w:val="single" w:color="E0E4E8" w:sz="1"/>
              <w:bottom w:val="single" w:color="E0E4E8" w:sz="1"/>
              <w:right w:val="single" w:color="E0E4E8" w:sz="1"/>
            </w:tcBorders>
            <w:shd w:fill="003B73" w:val="clear"/>
            <w:tcMar>
              <w:top w:type="dxa" w:w="80"/>
              <w:left w:type="dxa" w:w="120"/>
              <w:bottom w:type="dxa" w:w="80"/>
              <w:right w:type="dxa" w:w="120"/>
            </w:tcMar>
          </w:tcPr>
          <w:p>
            <w:r>
              <w:rPr>
                <w:rFonts w:ascii="Arial" w:cs="Arial" w:eastAsia="Arial" w:hAnsi="Arial"/>
                <w:b/>
                <w:bCs/>
                <w:color w:val="FFFFFF"/>
                <w:sz w:val="20"/>
                <w:szCs w:val="20"/>
              </w:rPr>
              <w:t xml:space="preserve">BG Pass Rate %</w:t>
            </w:r>
          </w:p>
        </w:tc>
      </w:tr>
      <w:tr>
        <w:tc>
          <w:tcPr>
            <w:tcW w:type="dxa" w:w="22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W1 (Jan)</w:t>
            </w:r>
          </w:p>
        </w:tc>
        <w:tc>
          <w:tcPr>
            <w:tcW w:type="dxa" w:w="28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18.5</w:t>
            </w:r>
          </w:p>
        </w:tc>
        <w:tc>
          <w:tcPr>
            <w:tcW w:type="dxa" w:w="20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22%</w:t>
            </w:r>
          </w:p>
        </w:tc>
        <w:tc>
          <w:tcPr>
            <w:tcW w:type="dxa" w:w="23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78%</w:t>
            </w:r>
          </w:p>
        </w:tc>
      </w:tr>
      <w:tr>
        <w:tc>
          <w:tcPr>
            <w:tcW w:type="dxa" w:w="22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W2</w:t>
            </w:r>
          </w:p>
        </w:tc>
        <w:tc>
          <w:tcPr>
            <w:tcW w:type="dxa" w:w="28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17.8</w:t>
            </w:r>
          </w:p>
        </w:tc>
        <w:tc>
          <w:tcPr>
            <w:tcW w:type="dxa" w:w="20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20%</w:t>
            </w:r>
          </w:p>
        </w:tc>
        <w:tc>
          <w:tcPr>
            <w:tcW w:type="dxa" w:w="236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80%</w:t>
            </w:r>
          </w:p>
        </w:tc>
      </w:tr>
      <w:tr>
        <w:tc>
          <w:tcPr>
            <w:tcW w:type="dxa" w:w="22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W3</w:t>
            </w:r>
          </w:p>
        </w:tc>
        <w:tc>
          <w:tcPr>
            <w:tcW w:type="dxa" w:w="28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17.2</w:t>
            </w:r>
          </w:p>
        </w:tc>
        <w:tc>
          <w:tcPr>
            <w:tcW w:type="dxa" w:w="20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19%</w:t>
            </w:r>
          </w:p>
        </w:tc>
        <w:tc>
          <w:tcPr>
            <w:tcW w:type="dxa" w:w="23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81%</w:t>
            </w:r>
          </w:p>
        </w:tc>
      </w:tr>
      <w:tr>
        <w:tc>
          <w:tcPr>
            <w:tcW w:type="dxa" w:w="22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W4</w:t>
            </w:r>
          </w:p>
        </w:tc>
        <w:tc>
          <w:tcPr>
            <w:tcW w:type="dxa" w:w="28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16.8</w:t>
            </w:r>
          </w:p>
        </w:tc>
        <w:tc>
          <w:tcPr>
            <w:tcW w:type="dxa" w:w="20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18%</w:t>
            </w:r>
          </w:p>
        </w:tc>
        <w:tc>
          <w:tcPr>
            <w:tcW w:type="dxa" w:w="236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83%</w:t>
            </w:r>
          </w:p>
        </w:tc>
      </w:tr>
      <w:tr>
        <w:tc>
          <w:tcPr>
            <w:tcW w:type="dxa" w:w="22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W5 (Feb)</w:t>
            </w:r>
          </w:p>
        </w:tc>
        <w:tc>
          <w:tcPr>
            <w:tcW w:type="dxa" w:w="28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16.4</w:t>
            </w:r>
          </w:p>
        </w:tc>
        <w:tc>
          <w:tcPr>
            <w:tcW w:type="dxa" w:w="20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17%</w:t>
            </w:r>
          </w:p>
        </w:tc>
        <w:tc>
          <w:tcPr>
            <w:tcW w:type="dxa" w:w="23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84%</w:t>
            </w:r>
          </w:p>
        </w:tc>
      </w:tr>
      <w:tr>
        <w:tc>
          <w:tcPr>
            <w:tcW w:type="dxa" w:w="22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W6</w:t>
            </w:r>
          </w:p>
        </w:tc>
        <w:tc>
          <w:tcPr>
            <w:tcW w:type="dxa" w:w="28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16.0</w:t>
            </w:r>
          </w:p>
        </w:tc>
        <w:tc>
          <w:tcPr>
            <w:tcW w:type="dxa" w:w="20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16%</w:t>
            </w:r>
          </w:p>
        </w:tc>
        <w:tc>
          <w:tcPr>
            <w:tcW w:type="dxa" w:w="236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86%</w:t>
            </w:r>
          </w:p>
        </w:tc>
      </w:tr>
      <w:tr>
        <w:tc>
          <w:tcPr>
            <w:tcW w:type="dxa" w:w="22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W7</w:t>
            </w:r>
          </w:p>
        </w:tc>
        <w:tc>
          <w:tcPr>
            <w:tcW w:type="dxa" w:w="28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15.6</w:t>
            </w:r>
          </w:p>
        </w:tc>
        <w:tc>
          <w:tcPr>
            <w:tcW w:type="dxa" w:w="20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15%</w:t>
            </w:r>
          </w:p>
        </w:tc>
        <w:tc>
          <w:tcPr>
            <w:tcW w:type="dxa" w:w="23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87%</w:t>
            </w:r>
          </w:p>
        </w:tc>
      </w:tr>
      <w:tr>
        <w:tc>
          <w:tcPr>
            <w:tcW w:type="dxa" w:w="22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W8</w:t>
            </w:r>
          </w:p>
        </w:tc>
        <w:tc>
          <w:tcPr>
            <w:tcW w:type="dxa" w:w="28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15.2</w:t>
            </w:r>
          </w:p>
        </w:tc>
        <w:tc>
          <w:tcPr>
            <w:tcW w:type="dxa" w:w="20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14%</w:t>
            </w:r>
          </w:p>
        </w:tc>
        <w:tc>
          <w:tcPr>
            <w:tcW w:type="dxa" w:w="236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88%</w:t>
            </w:r>
          </w:p>
        </w:tc>
      </w:tr>
      <w:tr>
        <w:tc>
          <w:tcPr>
            <w:tcW w:type="dxa" w:w="22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W9 (Mar)</w:t>
            </w:r>
          </w:p>
        </w:tc>
        <w:tc>
          <w:tcPr>
            <w:tcW w:type="dxa" w:w="28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14.8</w:t>
            </w:r>
          </w:p>
        </w:tc>
        <w:tc>
          <w:tcPr>
            <w:tcW w:type="dxa" w:w="20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13%</w:t>
            </w:r>
          </w:p>
        </w:tc>
        <w:tc>
          <w:tcPr>
            <w:tcW w:type="dxa" w:w="23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89%</w:t>
            </w:r>
          </w:p>
        </w:tc>
      </w:tr>
      <w:tr>
        <w:tc>
          <w:tcPr>
            <w:tcW w:type="dxa" w:w="22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W10</w:t>
            </w:r>
          </w:p>
        </w:tc>
        <w:tc>
          <w:tcPr>
            <w:tcW w:type="dxa" w:w="28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14.5</w:t>
            </w:r>
          </w:p>
        </w:tc>
        <w:tc>
          <w:tcPr>
            <w:tcW w:type="dxa" w:w="20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12%</w:t>
            </w:r>
          </w:p>
        </w:tc>
        <w:tc>
          <w:tcPr>
            <w:tcW w:type="dxa" w:w="236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90%</w:t>
            </w:r>
          </w:p>
        </w:tc>
      </w:tr>
      <w:tr>
        <w:tc>
          <w:tcPr>
            <w:tcW w:type="dxa" w:w="22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W11</w:t>
            </w:r>
          </w:p>
        </w:tc>
        <w:tc>
          <w:tcPr>
            <w:tcW w:type="dxa" w:w="28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14.2</w:t>
            </w:r>
          </w:p>
        </w:tc>
        <w:tc>
          <w:tcPr>
            <w:tcW w:type="dxa" w:w="20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12%</w:t>
            </w:r>
          </w:p>
        </w:tc>
        <w:tc>
          <w:tcPr>
            <w:tcW w:type="dxa" w:w="23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91%</w:t>
            </w:r>
          </w:p>
        </w:tc>
      </w:tr>
      <w:tr>
        <w:tc>
          <w:tcPr>
            <w:tcW w:type="dxa" w:w="22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W12</w:t>
            </w:r>
          </w:p>
        </w:tc>
        <w:tc>
          <w:tcPr>
            <w:tcW w:type="dxa" w:w="28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13.8</w:t>
            </w:r>
          </w:p>
        </w:tc>
        <w:tc>
          <w:tcPr>
            <w:tcW w:type="dxa" w:w="20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11%</w:t>
            </w:r>
          </w:p>
        </w:tc>
        <w:tc>
          <w:tcPr>
            <w:tcW w:type="dxa" w:w="236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92%</w:t>
            </w:r>
          </w:p>
        </w:tc>
      </w:tr>
    </w:tbl>
    <w:p>
      <w:r>
        <w:br w:type="page"/>
      </w:r>
    </w:p>
    <w:p>
      <w:pPr>
        <w:pStyle w:val="Heading2"/>
      </w:pPr>
      <w:r>
        <w:t xml:space="preserve">2.6 Resource Planner / Heatmap Data</w:t>
      </w:r>
    </w:p>
    <w:p>
      <w:pPr>
        <w:spacing w:after="120"/>
      </w:pPr>
      <w:r>
        <w:t xml:space="preserve">Populates the resource planner view — a capacity heatmap showing team allocation: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880"/>
        <w:gridCol w:w="1880"/>
      </w:tblGrid>
      <w:tr>
        <w:tc>
          <w:tcPr>
            <w:tcW w:type="dxa" w:w="2000"/>
            <w:tcBorders>
              <w:top w:val="single" w:color="E0E4E8" w:sz="1"/>
              <w:left w:val="single" w:color="E0E4E8" w:sz="1"/>
              <w:bottom w:val="single" w:color="E0E4E8" w:sz="1"/>
              <w:right w:val="single" w:color="E0E4E8" w:sz="1"/>
            </w:tcBorders>
            <w:shd w:fill="003B73" w:val="clear"/>
            <w:tcMar>
              <w:top w:type="dxa" w:w="80"/>
              <w:left w:type="dxa" w:w="120"/>
              <w:bottom w:type="dxa" w:w="80"/>
              <w:right w:type="dxa" w:w="120"/>
            </w:tcMar>
          </w:tcPr>
          <w:p>
            <w:r>
              <w:rPr>
                <w:rFonts w:ascii="Arial" w:cs="Arial" w:eastAsia="Arial" w:hAnsi="Arial"/>
                <w:b/>
                <w:bCs/>
                <w:color w:val="FFFFFF"/>
                <w:sz w:val="20"/>
                <w:szCs w:val="20"/>
              </w:rPr>
              <w:t xml:space="preserve">Team Member</w:t>
            </w:r>
          </w:p>
        </w:tc>
        <w:tc>
          <w:tcPr>
            <w:tcW w:type="dxa" w:w="1800"/>
            <w:tcBorders>
              <w:top w:val="single" w:color="E0E4E8" w:sz="1"/>
              <w:left w:val="single" w:color="E0E4E8" w:sz="1"/>
              <w:bottom w:val="single" w:color="E0E4E8" w:sz="1"/>
              <w:right w:val="single" w:color="E0E4E8" w:sz="1"/>
            </w:tcBorders>
            <w:shd w:fill="003B73" w:val="clear"/>
            <w:tcMar>
              <w:top w:type="dxa" w:w="80"/>
              <w:left w:type="dxa" w:w="120"/>
              <w:bottom w:type="dxa" w:w="80"/>
              <w:right w:type="dxa" w:w="120"/>
            </w:tcMar>
          </w:tcPr>
          <w:p>
            <w:r>
              <w:rPr>
                <w:rFonts w:ascii="Arial" w:cs="Arial" w:eastAsia="Arial" w:hAnsi="Arial"/>
                <w:b/>
                <w:bCs/>
                <w:color w:val="FFFFFF"/>
                <w:sz w:val="20"/>
                <w:szCs w:val="20"/>
              </w:rPr>
              <w:t xml:space="preserve">W1 (1-7 Mar)</w:t>
            </w:r>
          </w:p>
        </w:tc>
        <w:tc>
          <w:tcPr>
            <w:tcW w:type="dxa" w:w="1800"/>
            <w:tcBorders>
              <w:top w:val="single" w:color="E0E4E8" w:sz="1"/>
              <w:left w:val="single" w:color="E0E4E8" w:sz="1"/>
              <w:bottom w:val="single" w:color="E0E4E8" w:sz="1"/>
              <w:right w:val="single" w:color="E0E4E8" w:sz="1"/>
            </w:tcBorders>
            <w:shd w:fill="003B73" w:val="clear"/>
            <w:tcMar>
              <w:top w:type="dxa" w:w="80"/>
              <w:left w:type="dxa" w:w="120"/>
              <w:bottom w:type="dxa" w:w="80"/>
              <w:right w:type="dxa" w:w="120"/>
            </w:tcMar>
          </w:tcPr>
          <w:p>
            <w:r>
              <w:rPr>
                <w:rFonts w:ascii="Arial" w:cs="Arial" w:eastAsia="Arial" w:hAnsi="Arial"/>
                <w:b/>
                <w:bCs/>
                <w:color w:val="FFFFFF"/>
                <w:sz w:val="20"/>
                <w:szCs w:val="20"/>
              </w:rPr>
              <w:t xml:space="preserve">W2 (8-14)</w:t>
            </w:r>
          </w:p>
        </w:tc>
        <w:tc>
          <w:tcPr>
            <w:tcW w:type="dxa" w:w="1880"/>
            <w:tcBorders>
              <w:top w:val="single" w:color="E0E4E8" w:sz="1"/>
              <w:left w:val="single" w:color="E0E4E8" w:sz="1"/>
              <w:bottom w:val="single" w:color="E0E4E8" w:sz="1"/>
              <w:right w:val="single" w:color="E0E4E8" w:sz="1"/>
            </w:tcBorders>
            <w:shd w:fill="003B73" w:val="clear"/>
            <w:tcMar>
              <w:top w:type="dxa" w:w="80"/>
              <w:left w:type="dxa" w:w="120"/>
              <w:bottom w:type="dxa" w:w="80"/>
              <w:right w:type="dxa" w:w="120"/>
            </w:tcMar>
          </w:tcPr>
          <w:p>
            <w:r>
              <w:rPr>
                <w:rFonts w:ascii="Arial" w:cs="Arial" w:eastAsia="Arial" w:hAnsi="Arial"/>
                <w:b/>
                <w:bCs/>
                <w:color w:val="FFFFFF"/>
                <w:sz w:val="20"/>
                <w:szCs w:val="20"/>
              </w:rPr>
              <w:t xml:space="preserve">W3 (15-21)</w:t>
            </w:r>
          </w:p>
        </w:tc>
        <w:tc>
          <w:tcPr>
            <w:tcW w:type="dxa" w:w="1880"/>
            <w:tcBorders>
              <w:top w:val="single" w:color="E0E4E8" w:sz="1"/>
              <w:left w:val="single" w:color="E0E4E8" w:sz="1"/>
              <w:bottom w:val="single" w:color="E0E4E8" w:sz="1"/>
              <w:right w:val="single" w:color="E0E4E8" w:sz="1"/>
            </w:tcBorders>
            <w:shd w:fill="003B73" w:val="clear"/>
            <w:tcMar>
              <w:top w:type="dxa" w:w="80"/>
              <w:left w:type="dxa" w:w="120"/>
              <w:bottom w:type="dxa" w:w="80"/>
              <w:right w:type="dxa" w:w="120"/>
            </w:tcMar>
          </w:tcPr>
          <w:p>
            <w:r>
              <w:rPr>
                <w:rFonts w:ascii="Arial" w:cs="Arial" w:eastAsia="Arial" w:hAnsi="Arial"/>
                <w:b/>
                <w:bCs/>
                <w:color w:val="FFFFFF"/>
                <w:sz w:val="20"/>
                <w:szCs w:val="20"/>
              </w:rPr>
              <w:t xml:space="preserve">W4 (22-31)</w:t>
            </w:r>
          </w:p>
        </w:tc>
      </w:tr>
      <w:tr>
        <w:tc>
          <w:tcPr>
            <w:tcW w:type="dxa" w:w="20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James van der Merwe</w:t>
            </w:r>
          </w:p>
        </w:tc>
        <w:tc>
          <w:tcPr>
            <w:tcW w:type="dxa" w:w="18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85% (Broadsheet + Galaxy)</w:t>
            </w:r>
          </w:p>
        </w:tc>
        <w:tc>
          <w:tcPr>
            <w:tcW w:type="dxa" w:w="18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90% (Galaxy + Fibre)</w:t>
            </w:r>
          </w:p>
        </w:tc>
        <w:tc>
          <w:tcPr>
            <w:tcW w:type="dxa" w:w="188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70% (Approval support)</w:t>
            </w:r>
          </w:p>
        </w:tc>
        <w:tc>
          <w:tcPr>
            <w:tcW w:type="dxa" w:w="188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40% (Close-out)</w:t>
            </w:r>
          </w:p>
        </w:tc>
      </w:tr>
      <w:tr>
        <w:tc>
          <w:tcPr>
            <w:tcW w:type="dxa" w:w="20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Lerato Dlamini</w:t>
            </w:r>
          </w:p>
        </w:tc>
        <w:tc>
          <w:tcPr>
            <w:tcW w:type="dxa" w:w="18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30% (CD Review)</w:t>
            </w:r>
          </w:p>
        </w:tc>
        <w:tc>
          <w:tcPr>
            <w:tcW w:type="dxa" w:w="18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60% (Galaxy concepts)</w:t>
            </w:r>
          </w:p>
        </w:tc>
        <w:tc>
          <w:tcPr>
            <w:tcW w:type="dxa" w:w="188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80% (Approval sessions)</w:t>
            </w:r>
          </w:p>
        </w:tc>
        <w:tc>
          <w:tcPr>
            <w:tcW w:type="dxa" w:w="188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20% (Diagnose)</w:t>
            </w:r>
          </w:p>
        </w:tc>
      </w:tr>
      <w:tr>
        <w:tc>
          <w:tcPr>
            <w:tcW w:type="dxa" w:w="20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Aisha Patel</w:t>
            </w:r>
          </w:p>
        </w:tc>
        <w:tc>
          <w:tcPr>
            <w:tcW w:type="dxa" w:w="18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90% (Production coord)</w:t>
            </w:r>
          </w:p>
        </w:tc>
        <w:tc>
          <w:tcPr>
            <w:tcW w:type="dxa" w:w="18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95% (Peak production)</w:t>
            </w:r>
          </w:p>
        </w:tc>
        <w:tc>
          <w:tcPr>
            <w:tcW w:type="dxa" w:w="188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60% (QA + distribution)</w:t>
            </w:r>
          </w:p>
        </w:tc>
        <w:tc>
          <w:tcPr>
            <w:tcW w:type="dxa" w:w="188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50% (Store rebrand)</w:t>
            </w:r>
          </w:p>
        </w:tc>
      </w:tr>
      <w:tr>
        <w:tc>
          <w:tcPr>
            <w:tcW w:type="dxa" w:w="20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Zinhle Nkosi</w:t>
            </w:r>
          </w:p>
        </w:tc>
        <w:tc>
          <w:tcPr>
            <w:tcW w:type="dxa" w:w="18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70% (Planning + briefs)</w:t>
            </w:r>
          </w:p>
        </w:tc>
        <w:tc>
          <w:tcPr>
            <w:tcW w:type="dxa" w:w="18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80% (Workflow mgmt)</w:t>
            </w:r>
          </w:p>
        </w:tc>
        <w:tc>
          <w:tcPr>
            <w:tcW w:type="dxa" w:w="188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90% (Approval tracking)</w:t>
            </w:r>
          </w:p>
        </w:tc>
        <w:tc>
          <w:tcPr>
            <w:tcW w:type="dxa" w:w="188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60% (Close-out + planning)</w:t>
            </w:r>
          </w:p>
        </w:tc>
      </w:tr>
      <w:tr>
        <w:tc>
          <w:tcPr>
            <w:tcW w:type="dxa" w:w="20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David Botha</w:t>
            </w:r>
          </w:p>
        </w:tc>
        <w:tc>
          <w:tcPr>
            <w:tcW w:type="dxa" w:w="18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50% (Brief QA)</w:t>
            </w:r>
          </w:p>
        </w:tc>
        <w:tc>
          <w:tcPr>
            <w:tcW w:type="dxa" w:w="18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30% (Strategy review)</w:t>
            </w:r>
          </w:p>
        </w:tc>
        <w:tc>
          <w:tcPr>
            <w:tcW w:type="dxa" w:w="188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20% (Available)</w:t>
            </w:r>
          </w:p>
        </w:tc>
        <w:tc>
          <w:tcPr>
            <w:tcW w:type="dxa" w:w="188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40% (April planning)</w:t>
            </w:r>
          </w:p>
        </w:tc>
      </w:tr>
      <w:tr>
        <w:tc>
          <w:tcPr>
            <w:tcW w:type="dxa" w:w="20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Fatima Cassim</w:t>
            </w:r>
          </w:p>
        </w:tc>
        <w:tc>
          <w:tcPr>
            <w:tcW w:type="dxa" w:w="18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40% (BG scans)</w:t>
            </w:r>
          </w:p>
        </w:tc>
        <w:tc>
          <w:tcPr>
            <w:tcW w:type="dxa" w:w="18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70% (BG scans + QA)</w:t>
            </w:r>
          </w:p>
        </w:tc>
        <w:tc>
          <w:tcPr>
            <w:tcW w:type="dxa" w:w="188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50% (Final scans)</w:t>
            </w:r>
          </w:p>
        </w:tc>
        <w:tc>
          <w:tcPr>
            <w:tcW w:type="dxa" w:w="188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30% (Reporting)</w:t>
            </w:r>
          </w:p>
        </w:tc>
      </w:tr>
      <w:tr>
        <w:tc>
          <w:tcPr>
            <w:tcW w:type="dxa" w:w="20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Ryan Chen (WPP)</w:t>
            </w:r>
          </w:p>
        </w:tc>
        <w:tc>
          <w:tcPr>
            <w:tcW w:type="dxa" w:w="18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60% (Banner prod)</w:t>
            </w:r>
          </w:p>
        </w:tc>
        <w:tc>
          <w:tcPr>
            <w:tcW w:type="dxa" w:w="18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90% (Full production)</w:t>
            </w:r>
          </w:p>
        </w:tc>
        <w:tc>
          <w:tcPr>
            <w:tcW w:type="dxa" w:w="188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30% (Amends)</w:t>
            </w:r>
          </w:p>
        </w:tc>
        <w:tc>
          <w:tcPr>
            <w:tcW w:type="dxa" w:w="188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20% (Next month prep)</w:t>
            </w:r>
          </w:p>
        </w:tc>
      </w:tr>
    </w:tbl>
    <w:p>
      <w:pPr>
        <w:spacing w:after="40"/>
      </w:pPr>
    </w:p>
    <w:p>
      <w:pPr>
        <w:spacing w:after="120"/>
      </w:pPr>
      <w:r>
        <w:rPr>
          <w:b/>
          <w:bCs/>
        </w:rPr>
        <w:t xml:space="preserve">Heatmap colour key: </w:t>
      </w:r>
      <w:r>
        <w:t xml:space="preserve">Green (&lt; 60%) | Amber (60-80%) | Red (&gt; 80%). Cells at 90%+ should show a warning indicator.</w:t>
      </w:r>
    </w:p>
    <w:p>
      <w:r>
        <w:br w:type="page"/>
      </w:r>
    </w:p>
    <w:p>
      <w:pPr>
        <w:pStyle w:val="Heading2"/>
      </w:pPr>
      <w:r>
        <w:t xml:space="preserve">2.7 QA Gates Tracker Data</w:t>
      </w:r>
    </w:p>
    <w:p>
      <w:pPr>
        <w:spacing w:after="120"/>
      </w:pPr>
      <w:r>
        <w:t xml:space="preserve">For the QA Gates / Workflow view, showing real-time gate status per campaign: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600"/>
        <w:gridCol w:w="1500"/>
        <w:gridCol w:w="1380"/>
        <w:gridCol w:w="1380"/>
      </w:tblGrid>
      <w:tr>
        <w:tc>
          <w:tcPr>
            <w:tcW w:type="dxa" w:w="2000"/>
            <w:tcBorders>
              <w:top w:val="single" w:color="E0E4E8" w:sz="1"/>
              <w:left w:val="single" w:color="E0E4E8" w:sz="1"/>
              <w:bottom w:val="single" w:color="E0E4E8" w:sz="1"/>
              <w:right w:val="single" w:color="E0E4E8" w:sz="1"/>
            </w:tcBorders>
            <w:shd w:fill="003B73" w:val="clear"/>
            <w:tcMar>
              <w:top w:type="dxa" w:w="80"/>
              <w:left w:type="dxa" w:w="120"/>
              <w:bottom w:type="dxa" w:w="80"/>
              <w:right w:type="dxa" w:w="120"/>
            </w:tcMar>
          </w:tcPr>
          <w:p>
            <w:r>
              <w:rPr>
                <w:rFonts w:ascii="Arial" w:cs="Arial" w:eastAsia="Arial" w:hAnsi="Arial"/>
                <w:b/>
                <w:bCs/>
                <w:color w:val="FFFFFF"/>
                <w:sz w:val="20"/>
                <w:szCs w:val="20"/>
              </w:rPr>
              <w:t xml:space="preserve">Campaign</w:t>
            </w:r>
          </w:p>
        </w:tc>
        <w:tc>
          <w:tcPr>
            <w:tcW w:type="dxa" w:w="1500"/>
            <w:tcBorders>
              <w:top w:val="single" w:color="E0E4E8" w:sz="1"/>
              <w:left w:val="single" w:color="E0E4E8" w:sz="1"/>
              <w:bottom w:val="single" w:color="E0E4E8" w:sz="1"/>
              <w:right w:val="single" w:color="E0E4E8" w:sz="1"/>
            </w:tcBorders>
            <w:shd w:fill="003B73" w:val="clear"/>
            <w:tcMar>
              <w:top w:type="dxa" w:w="80"/>
              <w:left w:type="dxa" w:w="120"/>
              <w:bottom w:type="dxa" w:w="80"/>
              <w:right w:type="dxa" w:w="120"/>
            </w:tcMar>
          </w:tcPr>
          <w:p>
            <w:r>
              <w:rPr>
                <w:rFonts w:ascii="Arial" w:cs="Arial" w:eastAsia="Arial" w:hAnsi="Arial"/>
                <w:b/>
                <w:bCs/>
                <w:color w:val="FFFFFF"/>
                <w:sz w:val="20"/>
                <w:szCs w:val="20"/>
              </w:rPr>
              <w:t xml:space="preserve">Brief QA</w:t>
            </w:r>
          </w:p>
        </w:tc>
        <w:tc>
          <w:tcPr>
            <w:tcW w:type="dxa" w:w="1600"/>
            <w:tcBorders>
              <w:top w:val="single" w:color="E0E4E8" w:sz="1"/>
              <w:left w:val="single" w:color="E0E4E8" w:sz="1"/>
              <w:bottom w:val="single" w:color="E0E4E8" w:sz="1"/>
              <w:right w:val="single" w:color="E0E4E8" w:sz="1"/>
            </w:tcBorders>
            <w:shd w:fill="003B73" w:val="clear"/>
            <w:tcMar>
              <w:top w:type="dxa" w:w="80"/>
              <w:left w:type="dxa" w:w="120"/>
              <w:bottom w:type="dxa" w:w="80"/>
              <w:right w:type="dxa" w:w="120"/>
            </w:tcMar>
          </w:tcPr>
          <w:p>
            <w:r>
              <w:rPr>
                <w:rFonts w:ascii="Arial" w:cs="Arial" w:eastAsia="Arial" w:hAnsi="Arial"/>
                <w:b/>
                <w:bCs/>
                <w:color w:val="FFFFFF"/>
                <w:sz w:val="20"/>
                <w:szCs w:val="20"/>
              </w:rPr>
              <w:t xml:space="preserve">Gate 1 (Creative)</w:t>
            </w:r>
          </w:p>
        </w:tc>
        <w:tc>
          <w:tcPr>
            <w:tcW w:type="dxa" w:w="1500"/>
            <w:tcBorders>
              <w:top w:val="single" w:color="E0E4E8" w:sz="1"/>
              <w:left w:val="single" w:color="E0E4E8" w:sz="1"/>
              <w:bottom w:val="single" w:color="E0E4E8" w:sz="1"/>
              <w:right w:val="single" w:color="E0E4E8" w:sz="1"/>
            </w:tcBorders>
            <w:shd w:fill="003B73" w:val="clear"/>
            <w:tcMar>
              <w:top w:type="dxa" w:w="80"/>
              <w:left w:type="dxa" w:w="120"/>
              <w:bottom w:type="dxa" w:w="80"/>
              <w:right w:type="dxa" w:w="120"/>
            </w:tcMar>
          </w:tcPr>
          <w:p>
            <w:r>
              <w:rPr>
                <w:rFonts w:ascii="Arial" w:cs="Arial" w:eastAsia="Arial" w:hAnsi="Arial"/>
                <w:b/>
                <w:bCs/>
                <w:color w:val="FFFFFF"/>
                <w:sz w:val="20"/>
                <w:szCs w:val="20"/>
              </w:rPr>
              <w:t xml:space="preserve">Gate 2 (Version)</w:t>
            </w:r>
          </w:p>
        </w:tc>
        <w:tc>
          <w:tcPr>
            <w:tcW w:type="dxa" w:w="1380"/>
            <w:tcBorders>
              <w:top w:val="single" w:color="E0E4E8" w:sz="1"/>
              <w:left w:val="single" w:color="E0E4E8" w:sz="1"/>
              <w:bottom w:val="single" w:color="E0E4E8" w:sz="1"/>
              <w:right w:val="single" w:color="E0E4E8" w:sz="1"/>
            </w:tcBorders>
            <w:shd w:fill="003B73" w:val="clear"/>
            <w:tcMar>
              <w:top w:type="dxa" w:w="80"/>
              <w:left w:type="dxa" w:w="120"/>
              <w:bottom w:type="dxa" w:w="80"/>
              <w:right w:type="dxa" w:w="120"/>
            </w:tcMar>
          </w:tcPr>
          <w:p>
            <w:r>
              <w:rPr>
                <w:rFonts w:ascii="Arial" w:cs="Arial" w:eastAsia="Arial" w:hAnsi="Arial"/>
                <w:b/>
                <w:bCs/>
                <w:color w:val="FFFFFF"/>
                <w:sz w:val="20"/>
                <w:szCs w:val="20"/>
              </w:rPr>
              <w:t xml:space="preserve">Gate 3 (Distrib)</w:t>
            </w:r>
          </w:p>
        </w:tc>
        <w:tc>
          <w:tcPr>
            <w:tcW w:type="dxa" w:w="1380"/>
            <w:tcBorders>
              <w:top w:val="single" w:color="E0E4E8" w:sz="1"/>
              <w:left w:val="single" w:color="E0E4E8" w:sz="1"/>
              <w:bottom w:val="single" w:color="E0E4E8" w:sz="1"/>
              <w:right w:val="single" w:color="E0E4E8" w:sz="1"/>
            </w:tcBorders>
            <w:shd w:fill="003B73" w:val="clear"/>
            <w:tcMar>
              <w:top w:type="dxa" w:w="80"/>
              <w:left w:type="dxa" w:w="120"/>
              <w:bottom w:type="dxa" w:w="80"/>
              <w:right w:type="dxa" w:w="120"/>
            </w:tcMar>
          </w:tcPr>
          <w:p>
            <w:r>
              <w:rPr>
                <w:rFonts w:ascii="Arial" w:cs="Arial" w:eastAsia="Arial" w:hAnsi="Arial"/>
                <w:b/>
                <w:bCs/>
                <w:color w:val="FFFFFF"/>
                <w:sz w:val="20"/>
                <w:szCs w:val="20"/>
              </w:rPr>
              <w:t xml:space="preserve">Gate 4 (Rollout)</w:t>
            </w:r>
          </w:p>
        </w:tc>
      </w:tr>
      <w:tr>
        <w:tc>
          <w:tcPr>
            <w:tcW w:type="dxa" w:w="20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March Broadsheet</w:t>
            </w:r>
          </w:p>
        </w:tc>
        <w:tc>
          <w:tcPr>
            <w:tcW w:type="dxa" w:w="15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Passed (92%)</w:t>
            </w:r>
          </w:p>
        </w:tc>
        <w:tc>
          <w:tcPr>
            <w:tcW w:type="dxa" w:w="16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Passed (2 rounds)</w:t>
            </w:r>
          </w:p>
        </w:tc>
        <w:tc>
          <w:tcPr>
            <w:tcW w:type="dxa" w:w="15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In Progress</w:t>
            </w:r>
          </w:p>
        </w:tc>
        <w:tc>
          <w:tcPr>
            <w:tcW w:type="dxa" w:w="138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w:t>
            </w:r>
          </w:p>
        </w:tc>
        <w:tc>
          <w:tcPr>
            <w:tcW w:type="dxa" w:w="138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0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Galaxy S26 Launch</w:t>
            </w:r>
          </w:p>
        </w:tc>
        <w:tc>
          <w:tcPr>
            <w:tcW w:type="dxa" w:w="15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Passed (87%)</w:t>
            </w:r>
          </w:p>
        </w:tc>
        <w:tc>
          <w:tcPr>
            <w:tcW w:type="dxa" w:w="16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In Progress</w:t>
            </w:r>
          </w:p>
        </w:tc>
        <w:tc>
          <w:tcPr>
            <w:tcW w:type="dxa" w:w="15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w:t>
            </w:r>
          </w:p>
        </w:tc>
        <w:tc>
          <w:tcPr>
            <w:tcW w:type="dxa" w:w="138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w:t>
            </w:r>
          </w:p>
        </w:tc>
        <w:tc>
          <w:tcPr>
            <w:tcW w:type="dxa" w:w="138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w:t>
            </w:r>
          </w:p>
        </w:tc>
      </w:tr>
      <w:tr>
        <w:tc>
          <w:tcPr>
            <w:tcW w:type="dxa" w:w="20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Fibre Spring Sale</w:t>
            </w:r>
          </w:p>
        </w:tc>
        <w:tc>
          <w:tcPr>
            <w:tcW w:type="dxa" w:w="15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Passed (81%)</w:t>
            </w:r>
          </w:p>
        </w:tc>
        <w:tc>
          <w:tcPr>
            <w:tcW w:type="dxa" w:w="16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Passed (1 round)</w:t>
            </w:r>
          </w:p>
        </w:tc>
        <w:tc>
          <w:tcPr>
            <w:tcW w:type="dxa" w:w="15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Passed</w:t>
            </w:r>
          </w:p>
        </w:tc>
        <w:tc>
          <w:tcPr>
            <w:tcW w:type="dxa" w:w="138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In Progress</w:t>
            </w:r>
          </w:p>
        </w:tc>
        <w:tc>
          <w:tcPr>
            <w:tcW w:type="dxa" w:w="138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0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LTE Router Tactical</w:t>
            </w:r>
          </w:p>
        </w:tc>
        <w:tc>
          <w:tcPr>
            <w:tcW w:type="dxa" w:w="15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Passed (78%)</w:t>
            </w:r>
          </w:p>
        </w:tc>
        <w:tc>
          <w:tcPr>
            <w:tcW w:type="dxa" w:w="16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In Progress</w:t>
            </w:r>
          </w:p>
        </w:tc>
        <w:tc>
          <w:tcPr>
            <w:tcW w:type="dxa" w:w="15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w:t>
            </w:r>
          </w:p>
        </w:tc>
        <w:tc>
          <w:tcPr>
            <w:tcW w:type="dxa" w:w="138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w:t>
            </w:r>
          </w:p>
        </w:tc>
        <w:tc>
          <w:tcPr>
            <w:tcW w:type="dxa" w:w="138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w:t>
            </w:r>
          </w:p>
        </w:tc>
      </w:tr>
      <w:tr>
        <w:tc>
          <w:tcPr>
            <w:tcW w:type="dxa" w:w="20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Contract Upgrade</w:t>
            </w:r>
          </w:p>
        </w:tc>
        <w:tc>
          <w:tcPr>
            <w:tcW w:type="dxa" w:w="15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In Progress</w:t>
            </w:r>
          </w:p>
        </w:tc>
        <w:tc>
          <w:tcPr>
            <w:tcW w:type="dxa" w:w="16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w:t>
            </w:r>
          </w:p>
        </w:tc>
        <w:tc>
          <w:tcPr>
            <w:tcW w:type="dxa" w:w="138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w:t>
            </w:r>
          </w:p>
        </w:tc>
        <w:tc>
          <w:tcPr>
            <w:tcW w:type="dxa" w:w="138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0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Telkom Pay Cashback</w:t>
            </w:r>
          </w:p>
        </w:tc>
        <w:tc>
          <w:tcPr>
            <w:tcW w:type="dxa" w:w="15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Passed (90%)</w:t>
            </w:r>
          </w:p>
        </w:tc>
        <w:tc>
          <w:tcPr>
            <w:tcW w:type="dxa" w:w="16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Passed (1 round)</w:t>
            </w:r>
          </w:p>
        </w:tc>
        <w:tc>
          <w:tcPr>
            <w:tcW w:type="dxa" w:w="15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Passed</w:t>
            </w:r>
          </w:p>
        </w:tc>
        <w:tc>
          <w:tcPr>
            <w:tcW w:type="dxa" w:w="138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Passed</w:t>
            </w:r>
          </w:p>
        </w:tc>
        <w:tc>
          <w:tcPr>
            <w:tcW w:type="dxa" w:w="138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Passed</w:t>
            </w:r>
          </w:p>
        </w:tc>
      </w:tr>
      <w:tr>
        <w:tc>
          <w:tcPr>
            <w:tcW w:type="dxa" w:w="20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Store Rebrand Toolkit</w:t>
            </w:r>
          </w:p>
        </w:tc>
        <w:tc>
          <w:tcPr>
            <w:tcW w:type="dxa" w:w="15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Passed (85%)</w:t>
            </w:r>
          </w:p>
        </w:tc>
        <w:tc>
          <w:tcPr>
            <w:tcW w:type="dxa" w:w="16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In Progress</w:t>
            </w:r>
          </w:p>
        </w:tc>
        <w:tc>
          <w:tcPr>
            <w:tcW w:type="dxa" w:w="15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w:t>
            </w:r>
          </w:p>
        </w:tc>
        <w:tc>
          <w:tcPr>
            <w:tcW w:type="dxa" w:w="138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w:t>
            </w:r>
          </w:p>
        </w:tc>
        <w:tc>
          <w:tcPr>
            <w:tcW w:type="dxa" w:w="138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0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Easter Flash Sale</w:t>
            </w:r>
          </w:p>
        </w:tc>
        <w:tc>
          <w:tcPr>
            <w:tcW w:type="dxa" w:w="15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Passed (76%)</w:t>
            </w:r>
          </w:p>
        </w:tc>
        <w:tc>
          <w:tcPr>
            <w:tcW w:type="dxa" w:w="16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Fast-Track</w:t>
            </w:r>
          </w:p>
        </w:tc>
        <w:tc>
          <w:tcPr>
            <w:tcW w:type="dxa" w:w="15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Fast-Track</w:t>
            </w:r>
          </w:p>
        </w:tc>
        <w:tc>
          <w:tcPr>
            <w:tcW w:type="dxa" w:w="138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w:t>
            </w:r>
          </w:p>
        </w:tc>
        <w:tc>
          <w:tcPr>
            <w:tcW w:type="dxa" w:w="138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w:t>
            </w:r>
          </w:p>
        </w:tc>
      </w:tr>
    </w:tbl>
    <w:p>
      <w:pPr>
        <w:spacing w:after="80"/>
      </w:pPr>
    </w:p>
    <w:p>
      <w:pPr>
        <w:pStyle w:val="Heading3"/>
      </w:pPr>
      <w:r>
        <w:t xml:space="preserve">Brand Guardian Scan Results (Gate 1 Detail)</w:t>
      </w:r>
    </w:p>
    <w:p>
      <w:pPr>
        <w:spacing w:after="120"/>
      </w:pPr>
      <w:r>
        <w:t xml:space="preserve">Example scan results for the Galaxy S26 campaign: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E0E4E8" w:sz="1"/>
              <w:left w:val="single" w:color="E0E4E8" w:sz="1"/>
              <w:bottom w:val="single" w:color="E0E4E8" w:sz="1"/>
              <w:right w:val="single" w:color="E0E4E8" w:sz="1"/>
            </w:tcBorders>
            <w:shd w:fill="003B73"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1200"/>
            <w:tcBorders>
              <w:top w:val="single" w:color="E0E4E8" w:sz="1"/>
              <w:left w:val="single" w:color="E0E4E8" w:sz="1"/>
              <w:bottom w:val="single" w:color="E0E4E8" w:sz="1"/>
              <w:right w:val="single" w:color="E0E4E8" w:sz="1"/>
            </w:tcBorders>
            <w:shd w:fill="003B73" w:val="clear"/>
            <w:tcMar>
              <w:top w:type="dxa" w:w="80"/>
              <w:left w:type="dxa" w:w="120"/>
              <w:bottom w:type="dxa" w:w="80"/>
              <w:right w:type="dxa" w:w="120"/>
            </w:tcMar>
          </w:tcPr>
          <w:p>
            <w:r>
              <w:rPr>
                <w:rFonts w:ascii="Arial" w:cs="Arial" w:eastAsia="Arial" w:hAnsi="Arial"/>
                <w:b/>
                <w:bCs/>
                <w:color w:val="FFFFFF"/>
                <w:sz w:val="20"/>
                <w:szCs w:val="20"/>
              </w:rPr>
              <w:t xml:space="preserve">Result</w:t>
            </w:r>
          </w:p>
        </w:tc>
        <w:tc>
          <w:tcPr>
            <w:tcW w:type="dxa" w:w="5760"/>
            <w:tcBorders>
              <w:top w:val="single" w:color="E0E4E8" w:sz="1"/>
              <w:left w:val="single" w:color="E0E4E8" w:sz="1"/>
              <w:bottom w:val="single" w:color="E0E4E8" w:sz="1"/>
              <w:right w:val="single" w:color="E0E4E8" w:sz="1"/>
            </w:tcBorders>
            <w:shd w:fill="003B73"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4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Logo Placement</w:t>
            </w:r>
          </w:p>
        </w:tc>
        <w:tc>
          <w:tcPr>
            <w:tcW w:type="dxa" w:w="12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PASS</w:t>
            </w:r>
          </w:p>
        </w:tc>
        <w:tc>
          <w:tcPr>
            <w:tcW w:type="dxa" w:w="57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T-logo in correct position, minimum clear space respected</w:t>
            </w:r>
          </w:p>
        </w:tc>
      </w:tr>
      <w:tr>
        <w:tc>
          <w:tcPr>
            <w:tcW w:type="dxa" w:w="24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Colour Compliance</w:t>
            </w:r>
          </w:p>
        </w:tc>
        <w:tc>
          <w:tcPr>
            <w:tcW w:type="dxa" w:w="12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PASS</w:t>
            </w:r>
          </w:p>
        </w:tc>
        <w:tc>
          <w:tcPr>
            <w:tcW w:type="dxa" w:w="576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Primary blue #003B73 used correctly throughout</w:t>
            </w:r>
          </w:p>
        </w:tc>
      </w:tr>
      <w:tr>
        <w:tc>
          <w:tcPr>
            <w:tcW w:type="dxa" w:w="24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Typography</w:t>
            </w:r>
          </w:p>
        </w:tc>
        <w:tc>
          <w:tcPr>
            <w:tcW w:type="dxa" w:w="12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PASS</w:t>
            </w:r>
          </w:p>
        </w:tc>
        <w:tc>
          <w:tcPr>
            <w:tcW w:type="dxa" w:w="57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Approved fonts only, hierarchy correct</w:t>
            </w:r>
          </w:p>
        </w:tc>
      </w:tr>
      <w:tr>
        <w:tc>
          <w:tcPr>
            <w:tcW w:type="dxa" w:w="24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Co-Branding (Samsung)</w:t>
            </w:r>
          </w:p>
        </w:tc>
        <w:tc>
          <w:tcPr>
            <w:tcW w:type="dxa" w:w="12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FLAG</w:t>
            </w:r>
          </w:p>
        </w:tc>
        <w:tc>
          <w:tcPr>
            <w:tcW w:type="dxa" w:w="576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Samsung logo 4% larger than contractual maximum — adjust</w:t>
            </w:r>
          </w:p>
        </w:tc>
      </w:tr>
      <w:tr>
        <w:tc>
          <w:tcPr>
            <w:tcW w:type="dxa" w:w="24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Legal Disclaimers</w:t>
            </w:r>
          </w:p>
        </w:tc>
        <w:tc>
          <w:tcPr>
            <w:tcW w:type="dxa" w:w="12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FAIL</w:t>
            </w:r>
          </w:p>
        </w:tc>
        <w:tc>
          <w:tcPr>
            <w:tcW w:type="dxa" w:w="57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Trade-in T&amp;Cs disclaimer missing from print assets</w:t>
            </w:r>
          </w:p>
        </w:tc>
      </w:tr>
      <w:tr>
        <w:tc>
          <w:tcPr>
            <w:tcW w:type="dxa" w:w="24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Pricing Accuracy</w:t>
            </w:r>
          </w:p>
        </w:tc>
        <w:tc>
          <w:tcPr>
            <w:tcW w:type="dxa" w:w="12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PASS</w:t>
            </w:r>
          </w:p>
        </w:tc>
        <w:tc>
          <w:tcPr>
            <w:tcW w:type="dxa" w:w="576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All prices match approved pricing sheet v3.1</w:t>
            </w:r>
          </w:p>
        </w:tc>
      </w:tr>
      <w:tr>
        <w:tc>
          <w:tcPr>
            <w:tcW w:type="dxa" w:w="24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Accessibility (WCAG)</w:t>
            </w:r>
          </w:p>
        </w:tc>
        <w:tc>
          <w:tcPr>
            <w:tcW w:type="dxa" w:w="12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PASS</w:t>
            </w:r>
          </w:p>
        </w:tc>
        <w:tc>
          <w:tcPr>
            <w:tcW w:type="dxa" w:w="57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Contrast ratios meet AA standard</w:t>
            </w:r>
          </w:p>
        </w:tc>
      </w:tr>
      <w:tr>
        <w:tc>
          <w:tcPr>
            <w:tcW w:type="dxa" w:w="24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Image Rights</w:t>
            </w:r>
          </w:p>
        </w:tc>
        <w:tc>
          <w:tcPr>
            <w:tcW w:type="dxa" w:w="12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PASS</w:t>
            </w:r>
          </w:p>
        </w:tc>
        <w:tc>
          <w:tcPr>
            <w:tcW w:type="dxa" w:w="576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All Samsung device imagery licensed (Getty #TK-4422)</w:t>
            </w:r>
          </w:p>
        </w:tc>
      </w:tr>
    </w:tbl>
    <w:p>
      <w:r>
        <w:br w:type="page"/>
      </w:r>
    </w:p>
    <w:p>
      <w:pPr>
        <w:pStyle w:val="Heading2"/>
      </w:pPr>
      <w:r>
        <w:t xml:space="preserve">2.8 Box Integration — File Structure</w:t>
      </w:r>
    </w:p>
    <w:p>
      <w:pPr>
        <w:spacing w:after="120"/>
      </w:pPr>
      <w:r>
        <w:t xml:space="preserve">Populates the Box integration / file distribution view:</w:t>
      </w:r>
    </w:p>
    <w:p>
      <w:pPr>
        <w:spacing w:after="40"/>
      </w:pPr>
    </w:p>
    <w:p>
      <w:pPr>
        <w:spacing w:after="40"/>
        <w:ind w:left="0"/>
      </w:pPr>
      <w:r>
        <w:rPr>
          <w:rFonts w:ascii="Consolas" w:cs="Consolas" w:eastAsia="Consolas" w:hAnsi="Consolas"/>
          <w:b/>
          <w:bCs/>
          <w:color w:val="003B73"/>
          <w:sz w:val="18"/>
          <w:szCs w:val="18"/>
        </w:rPr>
        <w:t xml:space="preserve">Telkom Retail 2026/</w:t>
      </w:r>
    </w:p>
    <w:p>
      <w:pPr>
        <w:spacing w:after="40"/>
        <w:ind w:left="360"/>
      </w:pPr>
      <w:r>
        <w:rPr>
          <w:rFonts w:ascii="Consolas" w:cs="Consolas" w:eastAsia="Consolas" w:hAnsi="Consolas"/>
          <w:b/>
          <w:bCs/>
          <w:color w:val="003B73"/>
          <w:sz w:val="18"/>
          <w:szCs w:val="18"/>
        </w:rPr>
        <w:t xml:space="preserve">March 2026/</w:t>
      </w:r>
    </w:p>
    <w:p>
      <w:pPr>
        <w:spacing w:after="40"/>
        <w:ind w:left="720"/>
      </w:pPr>
      <w:r>
        <w:rPr>
          <w:rFonts w:ascii="Consolas" w:cs="Consolas" w:eastAsia="Consolas" w:hAnsi="Consolas"/>
          <w:b/>
          <w:bCs/>
          <w:color w:val="003B73"/>
          <w:sz w:val="18"/>
          <w:szCs w:val="18"/>
        </w:rPr>
        <w:t xml:space="preserve">TLK-2026-0038 — March Month-End Broadsheet/</w:t>
      </w:r>
    </w:p>
    <w:p>
      <w:pPr>
        <w:spacing w:after="40"/>
        <w:ind w:left="1080"/>
      </w:pPr>
      <w:r>
        <w:rPr>
          <w:rFonts w:ascii="Consolas" w:cs="Consolas" w:eastAsia="Consolas" w:hAnsi="Consolas"/>
          <w:b/>
          <w:bCs/>
          <w:color w:val="003B73"/>
          <w:sz w:val="18"/>
          <w:szCs w:val="18"/>
        </w:rPr>
        <w:t xml:space="preserve">01_Brief/</w:t>
      </w:r>
    </w:p>
    <w:p>
      <w:pPr>
        <w:spacing w:after="40"/>
        <w:ind w:left="1440"/>
      </w:pPr>
      <w:r>
        <w:rPr>
          <w:rFonts w:ascii="Consolas" w:cs="Consolas" w:eastAsia="Consolas" w:hAnsi="Consolas"/>
          <w:b w:val="false"/>
          <w:bCs w:val="false"/>
          <w:color w:val="4A4A4A"/>
          <w:sz w:val="18"/>
          <w:szCs w:val="18"/>
        </w:rPr>
        <w:t xml:space="preserve">Brief_v3.2_APPROVED.pdf</w:t>
      </w:r>
    </w:p>
    <w:p>
      <w:pPr>
        <w:spacing w:after="40"/>
        <w:ind w:left="1080"/>
      </w:pPr>
      <w:r>
        <w:rPr>
          <w:rFonts w:ascii="Consolas" w:cs="Consolas" w:eastAsia="Consolas" w:hAnsi="Consolas"/>
          <w:b/>
          <w:bCs/>
          <w:color w:val="003B73"/>
          <w:sz w:val="18"/>
          <w:szCs w:val="18"/>
        </w:rPr>
        <w:t xml:space="preserve">02_Creative/</w:t>
      </w:r>
    </w:p>
    <w:p>
      <w:pPr>
        <w:spacing w:after="40"/>
        <w:ind w:left="1440"/>
      </w:pPr>
      <w:r>
        <w:rPr>
          <w:rFonts w:ascii="Consolas" w:cs="Consolas" w:eastAsia="Consolas" w:hAnsi="Consolas"/>
          <w:b w:val="false"/>
          <w:bCs w:val="false"/>
          <w:color w:val="4A4A4A"/>
          <w:sz w:val="18"/>
          <w:szCs w:val="18"/>
        </w:rPr>
        <w:t xml:space="preserve">Layout_Option_A.indd</w:t>
      </w:r>
    </w:p>
    <w:p>
      <w:pPr>
        <w:spacing w:after="40"/>
        <w:ind w:left="1440"/>
      </w:pPr>
      <w:r>
        <w:rPr>
          <w:rFonts w:ascii="Consolas" w:cs="Consolas" w:eastAsia="Consolas" w:hAnsi="Consolas"/>
          <w:b w:val="false"/>
          <w:bCs w:val="false"/>
          <w:color w:val="4A4A4A"/>
          <w:sz w:val="18"/>
          <w:szCs w:val="18"/>
        </w:rPr>
        <w:t xml:space="preserve">Layout_Option_B.indd</w:t>
      </w:r>
    </w:p>
    <w:p>
      <w:pPr>
        <w:spacing w:after="40"/>
        <w:ind w:left="1440"/>
      </w:pPr>
      <w:r>
        <w:rPr>
          <w:rFonts w:ascii="Consolas" w:cs="Consolas" w:eastAsia="Consolas" w:hAnsi="Consolas"/>
          <w:b w:val="false"/>
          <w:bCs w:val="false"/>
          <w:color w:val="4A4A4A"/>
          <w:sz w:val="18"/>
          <w:szCs w:val="18"/>
        </w:rPr>
        <w:t xml:space="preserve">Layout_Option_C_SELECTED.indd</w:t>
      </w:r>
    </w:p>
    <w:p>
      <w:pPr>
        <w:spacing w:after="40"/>
        <w:ind w:left="1080"/>
      </w:pPr>
      <w:r>
        <w:rPr>
          <w:rFonts w:ascii="Consolas" w:cs="Consolas" w:eastAsia="Consolas" w:hAnsi="Consolas"/>
          <w:b/>
          <w:bCs/>
          <w:color w:val="003B73"/>
          <w:sz w:val="18"/>
          <w:szCs w:val="18"/>
        </w:rPr>
        <w:t xml:space="preserve">03_Production/</w:t>
      </w:r>
    </w:p>
    <w:p>
      <w:pPr>
        <w:spacing w:after="40"/>
        <w:ind w:left="1440"/>
      </w:pPr>
      <w:r>
        <w:rPr>
          <w:rFonts w:ascii="Consolas" w:cs="Consolas" w:eastAsia="Consolas" w:hAnsi="Consolas"/>
          <w:b w:val="false"/>
          <w:bCs w:val="false"/>
          <w:color w:val="4A4A4A"/>
          <w:sz w:val="18"/>
          <w:szCs w:val="18"/>
        </w:rPr>
        <w:t xml:space="preserve">Broadsheet_FINAL_v3.2.pdf</w:t>
      </w:r>
    </w:p>
    <w:p>
      <w:pPr>
        <w:spacing w:after="40"/>
        <w:ind w:left="1440"/>
      </w:pPr>
      <w:r>
        <w:rPr>
          <w:rFonts w:ascii="Consolas" w:cs="Consolas" w:eastAsia="Consolas" w:hAnsi="Consolas"/>
          <w:b w:val="false"/>
          <w:bCs w:val="false"/>
          <w:color w:val="4A4A4A"/>
          <w:sz w:val="18"/>
          <w:szCs w:val="18"/>
        </w:rPr>
        <w:t xml:space="preserve">Broadsheet_PRINT_CMYK.pdf</w:t>
      </w:r>
    </w:p>
    <w:p>
      <w:pPr>
        <w:spacing w:after="40"/>
        <w:ind w:left="1080"/>
      </w:pPr>
      <w:r>
        <w:rPr>
          <w:rFonts w:ascii="Consolas" w:cs="Consolas" w:eastAsia="Consolas" w:hAnsi="Consolas"/>
          <w:b/>
          <w:bCs/>
          <w:color w:val="003B73"/>
          <w:sz w:val="18"/>
          <w:szCs w:val="18"/>
        </w:rPr>
        <w:t xml:space="preserve">04_Approval/</w:t>
      </w:r>
    </w:p>
    <w:p>
      <w:pPr>
        <w:spacing w:after="40"/>
        <w:ind w:left="1440"/>
      </w:pPr>
      <w:r>
        <w:rPr>
          <w:rFonts w:ascii="Consolas" w:cs="Consolas" w:eastAsia="Consolas" w:hAnsi="Consolas"/>
          <w:b w:val="false"/>
          <w:bCs w:val="false"/>
          <w:color w:val="4A4A4A"/>
          <w:sz w:val="18"/>
          <w:szCs w:val="18"/>
        </w:rPr>
        <w:t xml:space="preserve">Sign-off_Sipho_Ndlovu_12Mar.pdf</w:t>
      </w:r>
    </w:p>
    <w:p>
      <w:pPr>
        <w:spacing w:after="40"/>
        <w:ind w:left="1440"/>
      </w:pPr>
      <w:r>
        <w:rPr>
          <w:rFonts w:ascii="Consolas" w:cs="Consolas" w:eastAsia="Consolas" w:hAnsi="Consolas"/>
          <w:b w:val="false"/>
          <w:bCs w:val="false"/>
          <w:color w:val="4A4A4A"/>
          <w:sz w:val="18"/>
          <w:szCs w:val="18"/>
        </w:rPr>
        <w:t xml:space="preserve">BrandGuardian_Report_PASS.pdf</w:t>
      </w:r>
    </w:p>
    <w:p>
      <w:pPr>
        <w:spacing w:after="40"/>
        <w:ind w:left="1080"/>
      </w:pPr>
      <w:r>
        <w:rPr>
          <w:rFonts w:ascii="Consolas" w:cs="Consolas" w:eastAsia="Consolas" w:hAnsi="Consolas"/>
          <w:b/>
          <w:bCs/>
          <w:color w:val="003B73"/>
          <w:sz w:val="18"/>
          <w:szCs w:val="18"/>
        </w:rPr>
        <w:t xml:space="preserve">05_Distribution/</w:t>
      </w:r>
    </w:p>
    <w:p>
      <w:pPr>
        <w:spacing w:after="40"/>
        <w:ind w:left="1440"/>
      </w:pPr>
      <w:r>
        <w:rPr>
          <w:rFonts w:ascii="Consolas" w:cs="Consolas" w:eastAsia="Consolas" w:hAnsi="Consolas"/>
          <w:b/>
          <w:bCs/>
          <w:color w:val="003B73"/>
          <w:sz w:val="18"/>
          <w:szCs w:val="18"/>
        </w:rPr>
        <w:t xml:space="preserve">Print_ReadyFiles/</w:t>
      </w:r>
    </w:p>
    <w:p>
      <w:pPr>
        <w:spacing w:after="40"/>
        <w:ind w:left="1440"/>
      </w:pPr>
      <w:r>
        <w:rPr>
          <w:rFonts w:ascii="Consolas" w:cs="Consolas" w:eastAsia="Consolas" w:hAnsi="Consolas"/>
          <w:b/>
          <w:bCs/>
          <w:color w:val="003B73"/>
          <w:sz w:val="18"/>
          <w:szCs w:val="18"/>
        </w:rPr>
        <w:t xml:space="preserve">Digital_Assets/</w:t>
      </w:r>
    </w:p>
    <w:p>
      <w:pPr>
        <w:spacing w:after="40"/>
        <w:ind w:left="720"/>
      </w:pPr>
      <w:r>
        <w:rPr>
          <w:rFonts w:ascii="Consolas" w:cs="Consolas" w:eastAsia="Consolas" w:hAnsi="Consolas"/>
          <w:b/>
          <w:bCs/>
          <w:color w:val="003B73"/>
          <w:sz w:val="18"/>
          <w:szCs w:val="18"/>
        </w:rPr>
        <w:t xml:space="preserve">TLK-2026-0042 — Samsung Galaxy S26 Launch/</w:t>
      </w:r>
    </w:p>
    <w:p>
      <w:pPr>
        <w:spacing w:after="40"/>
        <w:ind w:left="1080"/>
      </w:pPr>
      <w:r>
        <w:rPr>
          <w:rFonts w:ascii="Consolas" w:cs="Consolas" w:eastAsia="Consolas" w:hAnsi="Consolas"/>
          <w:b/>
          <w:bCs/>
          <w:color w:val="003B73"/>
          <w:sz w:val="18"/>
          <w:szCs w:val="18"/>
        </w:rPr>
        <w:t xml:space="preserve">01_Brief/</w:t>
      </w:r>
    </w:p>
    <w:p>
      <w:pPr>
        <w:spacing w:after="40"/>
        <w:ind w:left="1080"/>
      </w:pPr>
      <w:r>
        <w:rPr>
          <w:rFonts w:ascii="Consolas" w:cs="Consolas" w:eastAsia="Consolas" w:hAnsi="Consolas"/>
          <w:b/>
          <w:bCs/>
          <w:color w:val="003B73"/>
          <w:sz w:val="18"/>
          <w:szCs w:val="18"/>
        </w:rPr>
        <w:t xml:space="preserve">02_Creative/</w:t>
      </w:r>
    </w:p>
    <w:p>
      <w:pPr>
        <w:spacing w:after="40"/>
        <w:ind w:left="1080"/>
      </w:pPr>
      <w:r>
        <w:rPr>
          <w:rFonts w:ascii="Consolas" w:cs="Consolas" w:eastAsia="Consolas" w:hAnsi="Consolas"/>
          <w:b/>
          <w:bCs/>
          <w:color w:val="003B73"/>
          <w:sz w:val="18"/>
          <w:szCs w:val="18"/>
        </w:rPr>
        <w:t xml:space="preserve">03_Production/</w:t>
      </w:r>
    </w:p>
    <w:p>
      <w:pPr>
        <w:spacing w:after="40"/>
        <w:ind w:left="1080"/>
      </w:pPr>
      <w:r>
        <w:rPr>
          <w:rFonts w:ascii="Consolas" w:cs="Consolas" w:eastAsia="Consolas" w:hAnsi="Consolas"/>
          <w:b/>
          <w:bCs/>
          <w:color w:val="003B73"/>
          <w:sz w:val="18"/>
          <w:szCs w:val="18"/>
        </w:rPr>
        <w:t xml:space="preserve">04_Approval/</w:t>
      </w:r>
    </w:p>
    <w:p>
      <w:pPr>
        <w:spacing w:after="40"/>
        <w:ind w:left="1080"/>
      </w:pPr>
      <w:r>
        <w:rPr>
          <w:rFonts w:ascii="Consolas" w:cs="Consolas" w:eastAsia="Consolas" w:hAnsi="Consolas"/>
          <w:b/>
          <w:bCs/>
          <w:color w:val="003B73"/>
          <w:sz w:val="18"/>
          <w:szCs w:val="18"/>
        </w:rPr>
        <w:t xml:space="preserve">05_Distribution/</w:t>
      </w:r>
    </w:p>
    <w:p>
      <w:pPr>
        <w:spacing w:after="40"/>
        <w:ind w:left="720"/>
      </w:pPr>
      <w:r>
        <w:rPr>
          <w:rFonts w:ascii="Consolas" w:cs="Consolas" w:eastAsia="Consolas" w:hAnsi="Consolas"/>
          <w:b w:val="false"/>
          <w:bCs w:val="false"/>
          <w:color w:val="4A4A4A"/>
          <w:sz w:val="18"/>
          <w:szCs w:val="18"/>
        </w:rPr>
        <w:t xml:space="preserve">... (same structure for each campaign)</w:t>
      </w:r>
    </w:p>
    <w:p>
      <w:r>
        <w:br w:type="page"/>
      </w:r>
    </w:p>
    <w:p>
      <w:pPr>
        <w:pStyle w:val="Heading1"/>
      </w:pPr>
      <w:r>
        <w:t xml:space="preserve">3. Claude Code Build Brief</w:t>
      </w:r>
    </w:p>
    <w:p>
      <w:pPr>
        <w:spacing w:after="120"/>
      </w:pPr>
      <w:r>
        <w:rPr>
          <w:b/>
          <w:bCs/>
        </w:rPr>
        <w:t xml:space="preserve">Purpose: </w:t>
      </w:r>
      <w:r>
        <w:t xml:space="preserve">Build a standalone, Telkom-branded Bloodstream demo instance as a web application. This will be used for screen recording a pitch video — it does NOT need to be functional (no real backend, no auth). It needs to look and feel like a real, production application populated with realistic data.</w:t>
      </w:r>
    </w:p>
    <w:p>
      <w:pPr>
        <w:spacing w:after="80"/>
      </w:pPr>
    </w:p>
    <w:p>
      <w:pPr>
        <w:pStyle w:val="Heading2"/>
      </w:pPr>
      <w:r>
        <w:t xml:space="preserve">3.1 Technical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E0E4E8" w:sz="1"/>
              <w:left w:val="single" w:color="E0E4E8" w:sz="1"/>
              <w:bottom w:val="single" w:color="E0E4E8" w:sz="1"/>
              <w:right w:val="single" w:color="E0E4E8" w:sz="1"/>
            </w:tcBorders>
            <w:shd w:fill="003B73"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200"/>
            <w:tcBorders>
              <w:top w:val="single" w:color="E0E4E8" w:sz="1"/>
              <w:left w:val="single" w:color="E0E4E8" w:sz="1"/>
              <w:bottom w:val="single" w:color="E0E4E8" w:sz="1"/>
              <w:right w:val="single" w:color="E0E4E8" w:sz="1"/>
            </w:tcBorders>
            <w:shd w:fill="003B73"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960"/>
            <w:tcBorders>
              <w:top w:val="single" w:color="E0E4E8" w:sz="1"/>
              <w:left w:val="single" w:color="E0E4E8" w:sz="1"/>
              <w:bottom w:val="single" w:color="E0E4E8" w:sz="1"/>
              <w:right w:val="single" w:color="E0E4E8" w:sz="1"/>
            </w:tcBorders>
            <w:shd w:fill="003B73"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Framework</w:t>
            </w:r>
          </w:p>
        </w:tc>
        <w:tc>
          <w:tcPr>
            <w:tcW w:type="dxa" w:w="32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Next.js 14+ (App Router)</w:t>
            </w:r>
          </w:p>
        </w:tc>
        <w:tc>
          <w:tcPr>
            <w:tcW w:type="dxa" w:w="39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React Server Components, TypeScript</w:t>
            </w:r>
          </w:p>
        </w:tc>
      </w:tr>
      <w:tr>
        <w:tc>
          <w:tcPr>
            <w:tcW w:type="dxa" w:w="22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Styling</w:t>
            </w:r>
          </w:p>
        </w:tc>
        <w:tc>
          <w:tcPr>
            <w:tcW w:type="dxa" w:w="32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Tailwind CSS</w:t>
            </w:r>
          </w:p>
        </w:tc>
        <w:tc>
          <w:tcPr>
            <w:tcW w:type="dxa" w:w="396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Custom Telkom theme configuration</w:t>
            </w:r>
          </w:p>
        </w:tc>
      </w:tr>
      <w:tr>
        <w:tc>
          <w:tcPr>
            <w:tcW w:type="dxa" w:w="22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Charts</w:t>
            </w:r>
          </w:p>
        </w:tc>
        <w:tc>
          <w:tcPr>
            <w:tcW w:type="dxa" w:w="32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Recharts or Chart.js</w:t>
            </w:r>
          </w:p>
        </w:tc>
        <w:tc>
          <w:tcPr>
            <w:tcW w:type="dxa" w:w="39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For Circulation Dashboard visualizations</w:t>
            </w:r>
          </w:p>
        </w:tc>
      </w:tr>
      <w:tr>
        <w:tc>
          <w:tcPr>
            <w:tcW w:type="dxa" w:w="22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Icons</w:t>
            </w:r>
          </w:p>
        </w:tc>
        <w:tc>
          <w:tcPr>
            <w:tcW w:type="dxa" w:w="32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Lucide React</w:t>
            </w:r>
          </w:p>
        </w:tc>
        <w:tc>
          <w:tcPr>
            <w:tcW w:type="dxa" w:w="396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Clean, modern icon set</w:t>
            </w:r>
          </w:p>
        </w:tc>
      </w:tr>
      <w:tr>
        <w:tc>
          <w:tcPr>
            <w:tcW w:type="dxa" w:w="22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Data</w:t>
            </w:r>
          </w:p>
        </w:tc>
        <w:tc>
          <w:tcPr>
            <w:tcW w:type="dxa" w:w="32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Static JSON / TypeScript constants</w:t>
            </w:r>
          </w:p>
        </w:tc>
        <w:tc>
          <w:tcPr>
            <w:tcW w:type="dxa" w:w="39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No database — all data hardcoded from Section 2</w:t>
            </w:r>
          </w:p>
        </w:tc>
      </w:tr>
      <w:tr>
        <w:tc>
          <w:tcPr>
            <w:tcW w:type="dxa" w:w="22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Deployment</w:t>
            </w:r>
          </w:p>
        </w:tc>
        <w:tc>
          <w:tcPr>
            <w:tcW w:type="dxa" w:w="32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Static export or Vercel preview</w:t>
            </w:r>
          </w:p>
        </w:tc>
        <w:tc>
          <w:tcPr>
            <w:tcW w:type="dxa" w:w="396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Single build, no server required</w:t>
            </w:r>
          </w:p>
        </w:tc>
      </w:tr>
      <w:tr>
        <w:tc>
          <w:tcPr>
            <w:tcW w:type="dxa" w:w="22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Fonts</w:t>
            </w:r>
          </w:p>
        </w:tc>
        <w:tc>
          <w:tcPr>
            <w:tcW w:type="dxa" w:w="32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Inter (Google Fonts)</w:t>
            </w:r>
          </w:p>
        </w:tc>
        <w:tc>
          <w:tcPr>
            <w:tcW w:type="dxa" w:w="39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Primary typeface, fallback to system sans-serif</w:t>
            </w:r>
          </w:p>
        </w:tc>
      </w:tr>
    </w:tbl>
    <w:p>
      <w:pPr>
        <w:spacing w:after="120"/>
      </w:pPr>
    </w:p>
    <w:p>
      <w:pPr>
        <w:pStyle w:val="Heading2"/>
      </w:pPr>
      <w:r>
        <w:t xml:space="preserve">3.2 Telkom Theme Configuration</w:t>
      </w:r>
    </w:p>
    <w:p>
      <w:pPr>
        <w:spacing w:after="120"/>
      </w:pPr>
      <w:r>
        <w:t xml:space="preserve">Add to tailwind.config.ts:</w:t>
      </w:r>
    </w:p>
    <w:p>
      <w:pPr>
        <w:spacing w:after="40"/>
      </w:pPr>
    </w:p>
    <w:p>
      <w:pPr>
        <w:spacing w:after="20"/>
      </w:pPr>
      <w:r>
        <w:rPr>
          <w:rFonts w:ascii="Consolas" w:cs="Consolas" w:eastAsia="Consolas" w:hAnsi="Consolas"/>
          <w:color w:val="4A4A4A"/>
          <w:sz w:val="18"/>
          <w:szCs w:val="18"/>
        </w:rPr>
        <w:t xml:space="preserve">// tailwind.config.ts — Telkom Bloodstream Theme</w:t>
      </w:r>
    </w:p>
    <w:p>
      <w:pPr>
        <w:spacing w:after="20"/>
      </w:pPr>
      <w:r>
        <w:rPr>
          <w:rFonts w:ascii="Consolas" w:cs="Consolas" w:eastAsia="Consolas" w:hAnsi="Consolas"/>
          <w:color w:val="4A4A4A"/>
          <w:sz w:val="18"/>
          <w:szCs w:val="18"/>
        </w:rPr>
        <w:t xml:space="preserve">const config = {</w:t>
      </w:r>
    </w:p>
    <w:p>
      <w:pPr>
        <w:spacing w:after="20"/>
      </w:pPr>
      <w:r>
        <w:rPr>
          <w:rFonts w:ascii="Consolas" w:cs="Consolas" w:eastAsia="Consolas" w:hAnsi="Consolas"/>
          <w:color w:val="4A4A4A"/>
          <w:sz w:val="18"/>
          <w:szCs w:val="18"/>
        </w:rPr>
        <w:t xml:space="preserve">  theme: {</w:t>
      </w:r>
    </w:p>
    <w:p>
      <w:pPr>
        <w:spacing w:after="20"/>
      </w:pPr>
      <w:r>
        <w:rPr>
          <w:rFonts w:ascii="Consolas" w:cs="Consolas" w:eastAsia="Consolas" w:hAnsi="Consolas"/>
          <w:color w:val="4A4A4A"/>
          <w:sz w:val="18"/>
          <w:szCs w:val="18"/>
        </w:rPr>
        <w:t xml:space="preserve">    extend: {</w:t>
      </w:r>
    </w:p>
    <w:p>
      <w:pPr>
        <w:spacing w:after="20"/>
      </w:pPr>
      <w:r>
        <w:rPr>
          <w:rFonts w:ascii="Consolas" w:cs="Consolas" w:eastAsia="Consolas" w:hAnsi="Consolas"/>
          <w:color w:val="4A4A4A"/>
          <w:sz w:val="18"/>
          <w:szCs w:val="18"/>
        </w:rPr>
        <w:t xml:space="preserve">      colors: {</w:t>
      </w:r>
    </w:p>
    <w:p>
      <w:pPr>
        <w:spacing w:after="20"/>
      </w:pPr>
      <w:r>
        <w:rPr>
          <w:rFonts w:ascii="Consolas" w:cs="Consolas" w:eastAsia="Consolas" w:hAnsi="Consolas"/>
          <w:color w:val="4A4A4A"/>
          <w:sz w:val="18"/>
          <w:szCs w:val="18"/>
        </w:rPr>
        <w:t xml:space="preserve">        telkom: {</w:t>
      </w:r>
    </w:p>
    <w:p>
      <w:pPr>
        <w:spacing w:after="20"/>
      </w:pPr>
      <w:r>
        <w:rPr>
          <w:rFonts w:ascii="Consolas" w:cs="Consolas" w:eastAsia="Consolas" w:hAnsi="Consolas"/>
          <w:color w:val="4A4A4A"/>
          <w:sz w:val="18"/>
          <w:szCs w:val="18"/>
        </w:rPr>
        <w:t xml:space="preserve">          blue: '#003B73',</w:t>
      </w:r>
    </w:p>
    <w:p>
      <w:pPr>
        <w:spacing w:after="20"/>
      </w:pPr>
      <w:r>
        <w:rPr>
          <w:rFonts w:ascii="Consolas" w:cs="Consolas" w:eastAsia="Consolas" w:hAnsi="Consolas"/>
          <w:color w:val="4A4A4A"/>
          <w:sz w:val="18"/>
          <w:szCs w:val="18"/>
        </w:rPr>
        <w:t xml:space="preserve">          'blue-light': '#0077C8',</w:t>
      </w:r>
    </w:p>
    <w:p>
      <w:pPr>
        <w:spacing w:after="20"/>
      </w:pPr>
      <w:r>
        <w:rPr>
          <w:rFonts w:ascii="Consolas" w:cs="Consolas" w:eastAsia="Consolas" w:hAnsi="Consolas"/>
          <w:color w:val="4A4A4A"/>
          <w:sz w:val="18"/>
          <w:szCs w:val="18"/>
        </w:rPr>
        <w:t xml:space="preserve">          green: '#00B140',</w:t>
      </w:r>
    </w:p>
    <w:p>
      <w:pPr>
        <w:spacing w:after="20"/>
      </w:pPr>
      <w:r>
        <w:rPr>
          <w:rFonts w:ascii="Consolas" w:cs="Consolas" w:eastAsia="Consolas" w:hAnsi="Consolas"/>
          <w:color w:val="4A4A4A"/>
          <w:sz w:val="18"/>
          <w:szCs w:val="18"/>
        </w:rPr>
        <w:t xml:space="preserve">          navy: '#001F3F',</w:t>
      </w:r>
    </w:p>
    <w:p>
      <w:pPr>
        <w:spacing w:after="20"/>
      </w:pPr>
      <w:r>
        <w:rPr>
          <w:rFonts w:ascii="Consolas" w:cs="Consolas" w:eastAsia="Consolas" w:hAnsi="Consolas"/>
          <w:color w:val="4A4A4A"/>
          <w:sz w:val="18"/>
          <w:szCs w:val="18"/>
        </w:rPr>
        <w:t xml:space="preserve">          grey: '#4A4A4A',</w:t>
      </w:r>
    </w:p>
    <w:p>
      <w:pPr>
        <w:spacing w:after="20"/>
      </w:pPr>
      <w:r>
        <w:rPr>
          <w:rFonts w:ascii="Consolas" w:cs="Consolas" w:eastAsia="Consolas" w:hAnsi="Consolas"/>
          <w:color w:val="4A4A4A"/>
          <w:sz w:val="18"/>
          <w:szCs w:val="18"/>
        </w:rPr>
        <w:t xml:space="preserve">          'grey-light': '#F5F7FA',</w:t>
      </w:r>
    </w:p>
    <w:p>
      <w:pPr>
        <w:spacing w:after="20"/>
      </w:pPr>
      <w:r>
        <w:rPr>
          <w:rFonts w:ascii="Consolas" w:cs="Consolas" w:eastAsia="Consolas" w:hAnsi="Consolas"/>
          <w:color w:val="4A4A4A"/>
          <w:sz w:val="18"/>
          <w:szCs w:val="18"/>
        </w:rPr>
        <w:t xml:space="preserve">          'grey-border': '#E0E4E8',</w:t>
      </w:r>
    </w:p>
    <w:p>
      <w:pPr>
        <w:spacing w:after="20"/>
      </w:pPr>
      <w:r>
        <w:rPr>
          <w:rFonts w:ascii="Consolas" w:cs="Consolas" w:eastAsia="Consolas" w:hAnsi="Consolas"/>
          <w:color w:val="4A4A4A"/>
          <w:sz w:val="18"/>
          <w:szCs w:val="18"/>
        </w:rPr>
        <w:t xml:space="preserve">        }</w:t>
      </w:r>
    </w:p>
    <w:p>
      <w:pPr>
        <w:spacing w:after="20"/>
      </w:pPr>
      <w:r>
        <w:rPr>
          <w:rFonts w:ascii="Consolas" w:cs="Consolas" w:eastAsia="Consolas" w:hAnsi="Consolas"/>
          <w:color w:val="4A4A4A"/>
          <w:sz w:val="18"/>
          <w:szCs w:val="18"/>
        </w:rPr>
        <w:t xml:space="preserve">      },</w:t>
      </w:r>
    </w:p>
    <w:p>
      <w:pPr>
        <w:spacing w:after="20"/>
      </w:pPr>
      <w:r>
        <w:rPr>
          <w:rFonts w:ascii="Consolas" w:cs="Consolas" w:eastAsia="Consolas" w:hAnsi="Consolas"/>
          <w:color w:val="4A4A4A"/>
          <w:sz w:val="18"/>
          <w:szCs w:val="18"/>
        </w:rPr>
        <w:t xml:space="preserve">      fontFamily: {</w:t>
      </w:r>
    </w:p>
    <w:p>
      <w:pPr>
        <w:spacing w:after="20"/>
      </w:pPr>
      <w:r>
        <w:rPr>
          <w:rFonts w:ascii="Consolas" w:cs="Consolas" w:eastAsia="Consolas" w:hAnsi="Consolas"/>
          <w:color w:val="4A4A4A"/>
          <w:sz w:val="18"/>
          <w:szCs w:val="18"/>
        </w:rPr>
        <w:t xml:space="preserve">        sans: ['Inter', 'system-ui', 'sans-serif'],</w:t>
      </w:r>
    </w:p>
    <w:p>
      <w:pPr>
        <w:spacing w:after="20"/>
      </w:pPr>
      <w:r>
        <w:rPr>
          <w:rFonts w:ascii="Consolas" w:cs="Consolas" w:eastAsia="Consolas" w:hAnsi="Consolas"/>
          <w:color w:val="4A4A4A"/>
          <w:sz w:val="18"/>
          <w:szCs w:val="18"/>
        </w:rPr>
        <w:t xml:space="preserve">      },</w:t>
      </w:r>
    </w:p>
    <w:p>
      <w:pPr>
        <w:spacing w:after="20"/>
      </w:pPr>
      <w:r>
        <w:rPr>
          <w:rFonts w:ascii="Consolas" w:cs="Consolas" w:eastAsia="Consolas" w:hAnsi="Consolas"/>
          <w:color w:val="4A4A4A"/>
          <w:sz w:val="18"/>
          <w:szCs w:val="18"/>
        </w:rPr>
        <w:t xml:space="preserve">      backgroundImage: {</w:t>
      </w:r>
    </w:p>
    <w:p>
      <w:pPr>
        <w:spacing w:after="20"/>
      </w:pPr>
      <w:r>
        <w:rPr>
          <w:rFonts w:ascii="Consolas" w:cs="Consolas" w:eastAsia="Consolas" w:hAnsi="Consolas"/>
          <w:color w:val="4A4A4A"/>
          <w:sz w:val="18"/>
          <w:szCs w:val="18"/>
        </w:rPr>
        <w:t xml:space="preserve">        'telkom-gradient': 'linear-gradient(135deg, #003B73, #00B140)',</w:t>
      </w:r>
    </w:p>
    <w:p>
      <w:pPr>
        <w:spacing w:after="20"/>
      </w:pPr>
      <w:r>
        <w:rPr>
          <w:rFonts w:ascii="Consolas" w:cs="Consolas" w:eastAsia="Consolas" w:hAnsi="Consolas"/>
          <w:color w:val="4A4A4A"/>
          <w:sz w:val="18"/>
          <w:szCs w:val="18"/>
        </w:rPr>
        <w:t xml:space="preserve">        'telkom-hero': 'linear-gradient(135deg, #001F3F 0%, #003B73 60%, #0077C8 100%)',</w:t>
      </w:r>
    </w:p>
    <w:p>
      <w:pPr>
        <w:spacing w:after="20"/>
      </w:pPr>
      <w:r>
        <w:rPr>
          <w:rFonts w:ascii="Consolas" w:cs="Consolas" w:eastAsia="Consolas" w:hAnsi="Consolas"/>
          <w:color w:val="4A4A4A"/>
          <w:sz w:val="18"/>
          <w:szCs w:val="18"/>
        </w:rPr>
        <w:t xml:space="preserve">      },</w:t>
      </w:r>
    </w:p>
    <w:p>
      <w:pPr>
        <w:spacing w:after="20"/>
      </w:pPr>
      <w:r>
        <w:rPr>
          <w:rFonts w:ascii="Consolas" w:cs="Consolas" w:eastAsia="Consolas" w:hAnsi="Consolas"/>
          <w:color w:val="4A4A4A"/>
          <w:sz w:val="18"/>
          <w:szCs w:val="18"/>
        </w:rPr>
        <w:t xml:space="preserve">    },</w:t>
      </w:r>
    </w:p>
    <w:p>
      <w:pPr>
        <w:spacing w:after="20"/>
      </w:pPr>
      <w:r>
        <w:rPr>
          <w:rFonts w:ascii="Consolas" w:cs="Consolas" w:eastAsia="Consolas" w:hAnsi="Consolas"/>
          <w:color w:val="4A4A4A"/>
          <w:sz w:val="18"/>
          <w:szCs w:val="18"/>
        </w:rPr>
        <w:t xml:space="preserve">  },</w:t>
      </w:r>
    </w:p>
    <w:p>
      <w:pPr>
        <w:spacing w:after="20"/>
      </w:pPr>
      <w:r>
        <w:rPr>
          <w:rFonts w:ascii="Consolas" w:cs="Consolas" w:eastAsia="Consolas" w:hAnsi="Consolas"/>
          <w:color w:val="4A4A4A"/>
          <w:sz w:val="18"/>
          <w:szCs w:val="18"/>
        </w:rPr>
        <w:t xml:space="preserve">};</w:t>
      </w:r>
    </w:p>
    <w:p>
      <w:r>
        <w:br w:type="page"/>
      </w:r>
    </w:p>
    <w:p>
      <w:pPr>
        <w:pStyle w:val="Heading2"/>
      </w:pPr>
      <w:r>
        <w:t xml:space="preserve">3.3 Screens to Build</w:t>
      </w:r>
    </w:p>
    <w:p>
      <w:pPr>
        <w:spacing w:after="120"/>
      </w:pPr>
      <w:r>
        <w:t xml:space="preserve">Build each screen as a separate route. The app should have a persistent sidebar navigation with the Telkom 'T' logo and Bloodstream wordmark.</w:t>
      </w:r>
    </w:p>
    <w:p>
      <w:pPr>
        <w:spacing w:after="80"/>
      </w:pPr>
    </w:p>
    <w:p>
      <w:pPr>
        <w:pStyle w:val="Heading3"/>
      </w:pPr>
      <w:r>
        <w:t xml:space="preserve">Screen 1: Main Dashboard (Hero Screen)</w:t>
      </w:r>
    </w:p>
    <w:p>
      <w:pPr>
        <w:spacing w:after="80"/>
      </w:pPr>
      <w:r>
        <w:rPr>
          <w:rFonts w:ascii="Arial" w:cs="Arial" w:eastAsia="Arial" w:hAnsi="Arial"/>
          <w:b/>
          <w:bCs/>
          <w:sz w:val="22"/>
          <w:szCs w:val="22"/>
        </w:rPr>
        <w:t xml:space="preserve">Route: </w:t>
      </w:r>
      <w:r>
        <w:rPr>
          <w:rFonts w:ascii="Arial" w:cs="Arial" w:eastAsia="Arial" w:hAnsi="Arial"/>
          <w:sz w:val="22"/>
          <w:szCs w:val="22"/>
        </w:rPr>
        <w:t xml:space="preserve">/dashboard</w:t>
      </w:r>
    </w:p>
    <w:p>
      <w:pPr>
        <w:spacing w:after="80"/>
      </w:pPr>
      <w:r>
        <w:rPr>
          <w:rFonts w:ascii="Arial" w:cs="Arial" w:eastAsia="Arial" w:hAnsi="Arial"/>
          <w:b/>
          <w:bCs/>
          <w:sz w:val="22"/>
          <w:szCs w:val="22"/>
        </w:rPr>
        <w:t xml:space="preserve">Purpose: </w:t>
      </w:r>
      <w:r>
        <w:rPr>
          <w:rFonts w:ascii="Arial" w:cs="Arial" w:eastAsia="Arial" w:hAnsi="Arial"/>
          <w:sz w:val="22"/>
          <w:szCs w:val="22"/>
        </w:rPr>
        <w:t xml:space="preserve">The first thing you see. Pipeline overview, active campaigns, key metrics.</w:t>
      </w:r>
    </w:p>
    <w:p>
      <w:pPr>
        <w:spacing w:after="40"/>
      </w:pPr>
    </w:p>
    <w:p>
      <w:pPr>
        <w:spacing w:after="120"/>
      </w:pPr>
      <w:r>
        <w:rPr>
          <w:b/>
          <w:bCs/>
        </w:rPr>
        <w:t xml:space="preserve">Layout:</w:t>
      </w:r>
    </w:p>
    <w:p>
      <w:pPr>
        <w:spacing w:after="120"/>
      </w:pPr>
      <w:r>
        <w:t xml:space="preserve">Top: Hero banner with telkom-hero gradient background. Large heading: 'Bloodstream' with subtext 'Telkom Retail Campaign Intelligence'. Tagline: 'Possible Begins Here' in green accent.</w:t>
      </w:r>
    </w:p>
    <w:p>
      <w:pPr>
        <w:spacing w:after="120"/>
      </w:pPr>
      <w:r>
        <w:t xml:space="preserve">Below hero: 4 KPI summary cards in a row — Active Campaigns (10), Pipeline Velocity (14.2 days), Brand Guardian Pass Rate (91%), On-Time Delivery (88%). Each card has the number in large bold text (36px), a trend indicator arrow (green up or red down), and a subtle comparison vs last month.</w:t>
      </w:r>
    </w:p>
    <w:p>
      <w:pPr>
        <w:spacing w:after="120"/>
      </w:pPr>
      <w:r>
        <w:t xml:space="preserve">Middle: Campaign pipeline table showing all 10 active campaigns (from Section 2.2) with columns for Campaign Name, Tier (colour-coded badge), Status, Phase (with phase icon), Owner, and a progress bar. Rows should be clickable (hover state).</w:t>
      </w:r>
    </w:p>
    <w:p>
      <w:pPr>
        <w:spacing w:after="120"/>
      </w:pPr>
      <w:r>
        <w:t xml:space="preserve">Right sidebar or below: Phase distribution bar chart (Discover through Diagnose) and Campaign tier donut chart.</w:t>
      </w:r>
    </w:p>
    <w:p>
      <w:pPr>
        <w:spacing w:after="120"/>
      </w:pPr>
      <w:r>
        <w:t xml:space="preserve">Bottom: Quick actions row — 'New Brief', 'Governance Pack', 'Resource Planner' buttons.</w:t>
      </w:r>
    </w:p>
    <w:p>
      <w:pPr>
        <w:spacing w:after="120"/>
      </w:pPr>
    </w:p>
    <w:p>
      <w:pPr>
        <w:pStyle w:val="Heading3"/>
      </w:pPr>
      <w:r>
        <w:t xml:space="preserve">Screen 2: Brief Intake &amp; AI Pulse Check</w:t>
      </w:r>
    </w:p>
    <w:p>
      <w:pPr>
        <w:spacing w:after="80"/>
      </w:pPr>
      <w:r>
        <w:rPr>
          <w:rFonts w:ascii="Arial" w:cs="Arial" w:eastAsia="Arial" w:hAnsi="Arial"/>
          <w:b/>
          <w:bCs/>
          <w:sz w:val="22"/>
          <w:szCs w:val="22"/>
        </w:rPr>
        <w:t xml:space="preserve">Route: </w:t>
      </w:r>
      <w:r>
        <w:rPr>
          <w:rFonts w:ascii="Arial" w:cs="Arial" w:eastAsia="Arial" w:hAnsi="Arial"/>
          <w:sz w:val="22"/>
          <w:szCs w:val="22"/>
        </w:rPr>
        <w:t xml:space="preserve">/briefs/TLK-2026-0042</w:t>
      </w:r>
    </w:p>
    <w:p>
      <w:pPr>
        <w:spacing w:after="80"/>
      </w:pPr>
      <w:r>
        <w:rPr>
          <w:rFonts w:ascii="Arial" w:cs="Arial" w:eastAsia="Arial" w:hAnsi="Arial"/>
          <w:b/>
          <w:bCs/>
          <w:sz w:val="22"/>
          <w:szCs w:val="22"/>
        </w:rPr>
        <w:t xml:space="preserve">Purpose: </w:t>
      </w:r>
      <w:r>
        <w:rPr>
          <w:rFonts w:ascii="Arial" w:cs="Arial" w:eastAsia="Arial" w:hAnsi="Arial"/>
          <w:sz w:val="22"/>
          <w:szCs w:val="22"/>
        </w:rPr>
        <w:t xml:space="preserve">Show the brief detail view with the AI Pulse Check scoring.</w:t>
      </w:r>
    </w:p>
    <w:p>
      <w:pPr>
        <w:spacing w:after="40"/>
      </w:pPr>
    </w:p>
    <w:p>
      <w:pPr>
        <w:spacing w:after="120"/>
      </w:pPr>
      <w:r>
        <w:rPr>
          <w:b/>
          <w:bCs/>
        </w:rPr>
        <w:t xml:space="preserve">Layout:</w:t>
      </w:r>
    </w:p>
    <w:p>
      <w:pPr>
        <w:spacing w:after="120"/>
      </w:pPr>
      <w:r>
        <w:t xml:space="preserve">Left panel (60%): Brief detail form showing all fields from Section 2.3 (Samsung Galaxy S26 brief). Fields should appear as a clean form with labels and values. Some sections should show a green 'locked' padlock icon (section-level locking). Include the deliverables table.</w:t>
      </w:r>
    </w:p>
    <w:p>
      <w:pPr>
        <w:spacing w:after="120"/>
      </w:pPr>
      <w:r>
        <w:t xml:space="preserve">Right panel (40%): AI Pulse Check card. Circular progress indicator showing 87/100 score. Below: Strengths listed in green with checkmark icons. Flags listed in amber/red with warning icons. Each flag should have an 'Action Required' badge.</w:t>
      </w:r>
    </w:p>
    <w:p>
      <w:pPr>
        <w:spacing w:after="120"/>
      </w:pPr>
      <w:r>
        <w:t xml:space="preserve">Bottom: Version timeline — horizontal timeline showing v1.0 through current version with dots, dates, and who changed what. Current version highlighted in blue.</w:t>
      </w:r>
    </w:p>
    <w:p>
      <w:pPr>
        <w:spacing w:after="120"/>
      </w:pPr>
      <w:r>
        <w:t xml:space="preserve">Header: Brief ID badge (TLK-2026-0042), tier badge (Gold — amber), status badge (In Production — blue), campaign phase indicator.</w:t>
      </w:r>
    </w:p>
    <w:p>
      <w:pPr>
        <w:spacing w:after="120"/>
      </w:pPr>
    </w:p>
    <w:p>
      <w:pPr>
        <w:pStyle w:val="Heading3"/>
      </w:pPr>
      <w:r>
        <w:t xml:space="preserve">Screen 3: Circulation Dashboard</w:t>
      </w:r>
    </w:p>
    <w:p>
      <w:pPr>
        <w:spacing w:after="80"/>
      </w:pPr>
      <w:r>
        <w:rPr>
          <w:rFonts w:ascii="Arial" w:cs="Arial" w:eastAsia="Arial" w:hAnsi="Arial"/>
          <w:b/>
          <w:bCs/>
          <w:sz w:val="22"/>
          <w:szCs w:val="22"/>
        </w:rPr>
        <w:t xml:space="preserve">Route: </w:t>
      </w:r>
      <w:r>
        <w:rPr>
          <w:rFonts w:ascii="Arial" w:cs="Arial" w:eastAsia="Arial" w:hAnsi="Arial"/>
          <w:sz w:val="22"/>
          <w:szCs w:val="22"/>
        </w:rPr>
        <w:t xml:space="preserve">/dashboard/circulation</w:t>
      </w:r>
    </w:p>
    <w:p>
      <w:pPr>
        <w:spacing w:after="80"/>
      </w:pPr>
      <w:r>
        <w:rPr>
          <w:rFonts w:ascii="Arial" w:cs="Arial" w:eastAsia="Arial" w:hAnsi="Arial"/>
          <w:b/>
          <w:bCs/>
          <w:sz w:val="22"/>
          <w:szCs w:val="22"/>
        </w:rPr>
        <w:t xml:space="preserve">Purpose: </w:t>
      </w:r>
      <w:r>
        <w:rPr>
          <w:rFonts w:ascii="Arial" w:cs="Arial" w:eastAsia="Arial" w:hAnsi="Arial"/>
          <w:sz w:val="22"/>
          <w:szCs w:val="22"/>
        </w:rPr>
        <w:t xml:space="preserve">The measurement powerhouse. 13 chart types showing operational, quality, and governance metrics.</w:t>
      </w:r>
    </w:p>
    <w:p>
      <w:pPr>
        <w:spacing w:after="40"/>
      </w:pPr>
    </w:p>
    <w:p>
      <w:pPr>
        <w:spacing w:after="120"/>
      </w:pPr>
      <w:r>
        <w:rPr>
          <w:b/>
          <w:bCs/>
        </w:rPr>
        <w:t xml:space="preserve">Layout:</w:t>
      </w:r>
    </w:p>
    <w:p>
      <w:pPr>
        <w:spacing w:after="120"/>
      </w:pPr>
      <w:r>
        <w:t xml:space="preserve">Top row: 4 KPI summary tiles (same as dashboard but with more detail — show sparkline trends).</w:t>
      </w:r>
    </w:p>
    <w:p>
      <w:pPr>
        <w:spacing w:after="120"/>
      </w:pPr>
      <w:r>
        <w:t xml:space="preserve">Main grid (2x3 or 3x2): Chart cards, each with a title, chart, and a small info tooltip. Use data from Section 2.5:</w:t>
      </w:r>
    </w:p>
    <w:p>
      <w:pPr>
        <w:spacing w:after="120"/>
      </w:pPr>
      <w:r>
        <w:t xml:space="preserve">1. Pipeline Velocity Trend (line chart — 12 weeks, show improvement trajectory)</w:t>
      </w:r>
    </w:p>
    <w:p>
      <w:pPr>
        <w:spacing w:after="120"/>
      </w:pPr>
      <w:r>
        <w:t xml:space="preserve">2. Revert Rate Trend (line chart — declining, green zone under 15%)</w:t>
      </w:r>
    </w:p>
    <w:p>
      <w:pPr>
        <w:spacing w:after="120"/>
      </w:pPr>
      <w:r>
        <w:t xml:space="preserve">3. Brand Guardian Pass Rate (line chart — rising)</w:t>
      </w:r>
    </w:p>
    <w:p>
      <w:pPr>
        <w:spacing w:after="120"/>
      </w:pPr>
      <w:r>
        <w:t xml:space="preserve">4. Campaign Phase Distribution (horizontal bar chart)</w:t>
      </w:r>
    </w:p>
    <w:p>
      <w:pPr>
        <w:spacing w:after="120"/>
      </w:pPr>
      <w:r>
        <w:t xml:space="preserve">5. Tier Distribution (donut chart with labels)</w:t>
      </w:r>
    </w:p>
    <w:p>
      <w:pPr>
        <w:spacing w:after="120"/>
      </w:pPr>
      <w:r>
        <w:t xml:space="preserve">6. DTP Correction Frequency (bar chart — declining per campaign)</w:t>
      </w:r>
    </w:p>
    <w:p>
      <w:pPr>
        <w:spacing w:after="120"/>
      </w:pPr>
      <w:r>
        <w:t xml:space="preserve">Bottom row: Two wider charts:</w:t>
      </w:r>
    </w:p>
    <w:p>
      <w:pPr>
        <w:spacing w:after="120"/>
      </w:pPr>
      <w:r>
        <w:t xml:space="preserve">7. AI Time Savings Accumulation (area chart — cumulative hours saved)</w:t>
      </w:r>
    </w:p>
    <w:p>
      <w:pPr>
        <w:spacing w:after="120"/>
      </w:pPr>
      <w:r>
        <w:t xml:space="preserve">8. Client Response Time (bar chart by campaign)</w:t>
      </w:r>
    </w:p>
    <w:p>
      <w:pPr>
        <w:spacing w:after="120"/>
      </w:pPr>
      <w:r>
        <w:t xml:space="preserve">Top-right: Date range selector and 'Export Governance Pack' button (green accent).</w:t>
      </w:r>
    </w:p>
    <w:p>
      <w:pPr>
        <w:spacing w:after="120"/>
      </w:pPr>
    </w:p>
    <w:p>
      <w:r>
        <w:br w:type="page"/>
      </w:r>
    </w:p>
    <w:p>
      <w:pPr>
        <w:pStyle w:val="Heading3"/>
      </w:pPr>
      <w:r>
        <w:t xml:space="preserve">Screen 4: QA Gates Workflow View</w:t>
      </w:r>
    </w:p>
    <w:p>
      <w:pPr>
        <w:spacing w:after="80"/>
      </w:pPr>
      <w:r>
        <w:rPr>
          <w:rFonts w:ascii="Arial" w:cs="Arial" w:eastAsia="Arial" w:hAnsi="Arial"/>
          <w:b/>
          <w:bCs/>
          <w:sz w:val="22"/>
          <w:szCs w:val="22"/>
        </w:rPr>
        <w:t xml:space="preserve">Route: </w:t>
      </w:r>
      <w:r>
        <w:rPr>
          <w:rFonts w:ascii="Arial" w:cs="Arial" w:eastAsia="Arial" w:hAnsi="Arial"/>
          <w:sz w:val="22"/>
          <w:szCs w:val="22"/>
        </w:rPr>
        <w:t xml:space="preserve">/qa-gates</w:t>
      </w:r>
    </w:p>
    <w:p>
      <w:pPr>
        <w:spacing w:after="80"/>
      </w:pPr>
      <w:r>
        <w:rPr>
          <w:rFonts w:ascii="Arial" w:cs="Arial" w:eastAsia="Arial" w:hAnsi="Arial"/>
          <w:b/>
          <w:bCs/>
          <w:sz w:val="22"/>
          <w:szCs w:val="22"/>
        </w:rPr>
        <w:t xml:space="preserve">Purpose: </w:t>
      </w:r>
      <w:r>
        <w:rPr>
          <w:rFonts w:ascii="Arial" w:cs="Arial" w:eastAsia="Arial" w:hAnsi="Arial"/>
          <w:sz w:val="22"/>
          <w:szCs w:val="22"/>
        </w:rPr>
        <w:t xml:space="preserve">Visual representation of the 5-gate QA framework with real-time status per campaign.</w:t>
      </w:r>
    </w:p>
    <w:p>
      <w:pPr>
        <w:spacing w:after="40"/>
      </w:pPr>
    </w:p>
    <w:p>
      <w:pPr>
        <w:spacing w:after="120"/>
      </w:pPr>
      <w:r>
        <w:rPr>
          <w:b/>
          <w:bCs/>
        </w:rPr>
        <w:t xml:space="preserve">Layout:</w:t>
      </w:r>
    </w:p>
    <w:p>
      <w:pPr>
        <w:spacing w:after="120"/>
      </w:pPr>
      <w:r>
        <w:t xml:space="preserve">Top: Visual pipeline — 5 connected nodes representing Brief QA, Gate 1 (Creative/DTP), Gate 2 (Version Control), Gate 3 (Distribution), Gate 4 (Rollout). Each node is a rounded card with an icon. Connectors between them. Active gate pulses with a subtle animation.</w:t>
      </w:r>
    </w:p>
    <w:p>
      <w:pPr>
        <w:spacing w:after="120"/>
      </w:pPr>
      <w:r>
        <w:t xml:space="preserve">Middle: Campaign QA matrix table (from Section 2.7). Each cell shows status: Passed (green check), In Progress (blue spinner), Fast-Track (amber lightning bolt), Not Started (grey dash). Passed cells show the score/rounds.</w:t>
      </w:r>
    </w:p>
    <w:p>
      <w:pPr>
        <w:spacing w:after="120"/>
      </w:pPr>
      <w:r>
        <w:t xml:space="preserve">Detail panel (expandable): When a cell is clicked, show the Brand Guardian scan results (from Section 2.7 — Gate 1 Detail). Show each check with PASS/FLAG/FAIL badges and detail text.</w:t>
      </w:r>
    </w:p>
    <w:p>
      <w:pPr>
        <w:spacing w:after="120"/>
      </w:pPr>
      <w:r>
        <w:t xml:space="preserve">Sidebar: Gate pass rate summary — mini donut charts showing pass rates per gate across all campaigns.</w:t>
      </w:r>
    </w:p>
    <w:p>
      <w:pPr>
        <w:spacing w:after="120"/>
      </w:pPr>
    </w:p>
    <w:p>
      <w:pPr>
        <w:pStyle w:val="Heading3"/>
      </w:pPr>
      <w:r>
        <w:t xml:space="preserve">Screen 5: Version History &amp; Revert Adjudication</w:t>
      </w:r>
    </w:p>
    <w:p>
      <w:pPr>
        <w:spacing w:after="80"/>
      </w:pPr>
      <w:r>
        <w:rPr>
          <w:rFonts w:ascii="Arial" w:cs="Arial" w:eastAsia="Arial" w:hAnsi="Arial"/>
          <w:b/>
          <w:bCs/>
          <w:sz w:val="22"/>
          <w:szCs w:val="22"/>
        </w:rPr>
        <w:t xml:space="preserve">Route: </w:t>
      </w:r>
      <w:r>
        <w:rPr>
          <w:rFonts w:ascii="Arial" w:cs="Arial" w:eastAsia="Arial" w:hAnsi="Arial"/>
          <w:sz w:val="22"/>
          <w:szCs w:val="22"/>
        </w:rPr>
        <w:t xml:space="preserve">/briefs/TLK-2026-0038/versions</w:t>
      </w:r>
    </w:p>
    <w:p>
      <w:pPr>
        <w:spacing w:after="80"/>
      </w:pPr>
      <w:r>
        <w:rPr>
          <w:rFonts w:ascii="Arial" w:cs="Arial" w:eastAsia="Arial" w:hAnsi="Arial"/>
          <w:b/>
          <w:bCs/>
          <w:sz w:val="22"/>
          <w:szCs w:val="22"/>
        </w:rPr>
        <w:t xml:space="preserve">Purpose: </w:t>
      </w:r>
      <w:r>
        <w:rPr>
          <w:rFonts w:ascii="Arial" w:cs="Arial" w:eastAsia="Arial" w:hAnsi="Arial"/>
          <w:sz w:val="22"/>
          <w:szCs w:val="22"/>
        </w:rPr>
        <w:t xml:space="preserve">Show the version control system with the AI-powered revert adjudication feature.</w:t>
      </w:r>
    </w:p>
    <w:p>
      <w:pPr>
        <w:spacing w:after="40"/>
      </w:pPr>
    </w:p>
    <w:p>
      <w:pPr>
        <w:spacing w:after="120"/>
      </w:pPr>
      <w:r>
        <w:rPr>
          <w:b/>
          <w:bCs/>
        </w:rPr>
        <w:t xml:space="preserve">Layout:</w:t>
      </w:r>
    </w:p>
    <w:p>
      <w:pPr>
        <w:spacing w:after="120"/>
      </w:pPr>
      <w:r>
        <w:t xml:space="preserve">Left: Vertical timeline showing all versions from Section 2.4 (March Broadsheet). Each version is a card on the timeline with: version number, date/time, author (with avatar initial), change summary. Current version highlighted with blue border. Superseded versions slightly faded.</w:t>
      </w:r>
    </w:p>
    <w:p>
      <w:pPr>
        <w:spacing w:after="120"/>
      </w:pPr>
      <w:r>
        <w:t xml:space="preserve">Right panel (when revert is selected): AI Adjudication card with a distinctive visual treatment (maybe a subtle blue-green gradient border). Shows: 'Revert Request' header with warning icon, who requested it, what they want to revert to, the AI analysis text (from Section 2.4), the classification badge ('CLIENT CHANGE'), the recommendation, and impact assessment. Two action buttons: 'Approve Revert' (green) and 'Deny Revert' (red outline).</w:t>
      </w:r>
    </w:p>
    <w:p>
      <w:pPr>
        <w:spacing w:after="120"/>
      </w:pPr>
      <w:r>
        <w:t xml:space="preserve">Bottom: Diff viewer — side-by-side comparison of v3.0 vs v3.2 showing what changed (hero image highlighted).</w:t>
      </w:r>
    </w:p>
    <w:p>
      <w:pPr>
        <w:spacing w:after="120"/>
      </w:pPr>
    </w:p>
    <w:p>
      <w:pPr>
        <w:pStyle w:val="Heading3"/>
      </w:pPr>
      <w:r>
        <w:t xml:space="preserve">Screen 6: Resource Planner Heatmap</w:t>
      </w:r>
    </w:p>
    <w:p>
      <w:pPr>
        <w:spacing w:after="80"/>
      </w:pPr>
      <w:r>
        <w:rPr>
          <w:rFonts w:ascii="Arial" w:cs="Arial" w:eastAsia="Arial" w:hAnsi="Arial"/>
          <w:b/>
          <w:bCs/>
          <w:sz w:val="22"/>
          <w:szCs w:val="22"/>
        </w:rPr>
        <w:t xml:space="preserve">Route: </w:t>
      </w:r>
      <w:r>
        <w:rPr>
          <w:rFonts w:ascii="Arial" w:cs="Arial" w:eastAsia="Arial" w:hAnsi="Arial"/>
          <w:sz w:val="22"/>
          <w:szCs w:val="22"/>
        </w:rPr>
        <w:t xml:space="preserve">/resources</w:t>
      </w:r>
    </w:p>
    <w:p>
      <w:pPr>
        <w:spacing w:after="80"/>
      </w:pPr>
      <w:r>
        <w:rPr>
          <w:rFonts w:ascii="Arial" w:cs="Arial" w:eastAsia="Arial" w:hAnsi="Arial"/>
          <w:b/>
          <w:bCs/>
          <w:sz w:val="22"/>
          <w:szCs w:val="22"/>
        </w:rPr>
        <w:t xml:space="preserve">Purpose: </w:t>
      </w:r>
      <w:r>
        <w:rPr>
          <w:rFonts w:ascii="Arial" w:cs="Arial" w:eastAsia="Arial" w:hAnsi="Arial"/>
          <w:sz w:val="22"/>
          <w:szCs w:val="22"/>
        </w:rPr>
        <w:t xml:space="preserve">Capacity planning view showing team allocation across weeks.</w:t>
      </w:r>
    </w:p>
    <w:p>
      <w:pPr>
        <w:spacing w:after="40"/>
      </w:pPr>
    </w:p>
    <w:p>
      <w:pPr>
        <w:spacing w:after="120"/>
      </w:pPr>
      <w:r>
        <w:rPr>
          <w:b/>
          <w:bCs/>
        </w:rPr>
        <w:t xml:space="preserve">Layout:</w:t>
      </w:r>
    </w:p>
    <w:p>
      <w:pPr>
        <w:spacing w:after="120"/>
      </w:pPr>
      <w:r>
        <w:t xml:space="preserve">Full-width heatmap grid from Section 2.6. Rows = team members (with role subtitle), Columns = weeks. Each cell shows percentage and a brief note of what they're working on. Cell background colour: Green (&lt; 60%), Amber/Yellow (60-80%), Red/Orange (&gt; 80%). Cells at 90%+ show a small warning triangle.</w:t>
      </w:r>
    </w:p>
    <w:p>
      <w:pPr>
        <w:spacing w:after="120"/>
      </w:pPr>
      <w:r>
        <w:t xml:space="preserve">Top: Month selector (March 2026 selected), team filter dropdown, 'Flag Overallocation' toggle.</w:t>
      </w:r>
    </w:p>
    <w:p>
      <w:pPr>
        <w:spacing w:after="120"/>
      </w:pPr>
      <w:r>
        <w:t xml:space="preserve">Right sidebar: Team capacity summary — total available hours vs allocated, utilisation percentage, any flagged overallocations.</w:t>
      </w:r>
    </w:p>
    <w:p>
      <w:pPr>
        <w:spacing w:after="120"/>
      </w:pPr>
      <w:r>
        <w:t xml:space="preserve">Bottom: Upcoming milestone timeline showing key dates (Galaxy S26 launch, Broadsheet deadline, Easter sale).</w:t>
      </w:r>
    </w:p>
    <w:p>
      <w:pPr>
        <w:spacing w:after="120"/>
      </w:pPr>
    </w:p>
    <w:p>
      <w:pPr>
        <w:pStyle w:val="Heading3"/>
      </w:pPr>
      <w:r>
        <w:t xml:space="preserve">Screen 7: Box File Integration View</w:t>
      </w:r>
    </w:p>
    <w:p>
      <w:pPr>
        <w:spacing w:after="80"/>
      </w:pPr>
      <w:r>
        <w:rPr>
          <w:rFonts w:ascii="Arial" w:cs="Arial" w:eastAsia="Arial" w:hAnsi="Arial"/>
          <w:b/>
          <w:bCs/>
          <w:sz w:val="22"/>
          <w:szCs w:val="22"/>
        </w:rPr>
        <w:t xml:space="preserve">Route: </w:t>
      </w:r>
      <w:r>
        <w:rPr>
          <w:rFonts w:ascii="Arial" w:cs="Arial" w:eastAsia="Arial" w:hAnsi="Arial"/>
          <w:sz w:val="22"/>
          <w:szCs w:val="22"/>
        </w:rPr>
        <w:t xml:space="preserve">/files</w:t>
      </w:r>
    </w:p>
    <w:p>
      <w:pPr>
        <w:spacing w:after="80"/>
      </w:pPr>
      <w:r>
        <w:rPr>
          <w:rFonts w:ascii="Arial" w:cs="Arial" w:eastAsia="Arial" w:hAnsi="Arial"/>
          <w:b/>
          <w:bCs/>
          <w:sz w:val="22"/>
          <w:szCs w:val="22"/>
        </w:rPr>
        <w:t xml:space="preserve">Purpose: </w:t>
      </w:r>
      <w:r>
        <w:rPr>
          <w:rFonts w:ascii="Arial" w:cs="Arial" w:eastAsia="Arial" w:hAnsi="Arial"/>
          <w:sz w:val="22"/>
          <w:szCs w:val="22"/>
        </w:rPr>
        <w:t xml:space="preserve">Show the structured file management system with Box integration.</w:t>
      </w:r>
    </w:p>
    <w:p>
      <w:pPr>
        <w:spacing w:after="40"/>
      </w:pPr>
    </w:p>
    <w:p>
      <w:pPr>
        <w:spacing w:after="120"/>
      </w:pPr>
      <w:r>
        <w:rPr>
          <w:b/>
          <w:bCs/>
        </w:rPr>
        <w:t xml:space="preserve">Layout:</w:t>
      </w:r>
    </w:p>
    <w:p>
      <w:pPr>
        <w:spacing w:after="120"/>
      </w:pPr>
      <w:r>
        <w:t xml:space="preserve">File browser layout following the folder structure from Section 2.8. Left: Folder tree (collapsible). Right: File list with columns for Name, Type (icon), Version, Size, Last Modified, Status (Approved/Draft/Superseded badge). Show a 'Box' logo watermark in the corner to indicate integration.</w:t>
      </w:r>
    </w:p>
    <w:p>
      <w:pPr>
        <w:spacing w:after="120"/>
      </w:pPr>
      <w:r>
        <w:t xml:space="preserve">File preview panel: When a file is selected, show a preview card with thumbnail, metadata, approval status, download button, and version history link.</w:t>
      </w:r>
    </w:p>
    <w:p>
      <w:pPr>
        <w:spacing w:after="120"/>
      </w:pPr>
      <w:r>
        <w:t xml:space="preserve">Top: Breadcrumb navigation (Telkom Retail 2026 &gt; March 2026 &gt; TLK-2026-0038), search bar, filter by status.</w:t>
      </w:r>
    </w:p>
    <w:p>
      <w:r>
        <w:br w:type="page"/>
      </w:r>
    </w:p>
    <w:p>
      <w:pPr>
        <w:pStyle w:val="Heading2"/>
      </w:pPr>
      <w:r>
        <w:t xml:space="preserve">3.4 Navigation Structure</w:t>
      </w:r>
    </w:p>
    <w:p>
      <w:pPr>
        <w:spacing w:after="120"/>
      </w:pPr>
      <w:r>
        <w:t xml:space="preserve">Persistent left sidebar (dark navy background #001F3F):</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200"/>
        <w:gridCol w:w="1960"/>
      </w:tblGrid>
      <w:tr>
        <w:tc>
          <w:tcPr>
            <w:tcW w:type="dxa" w:w="2200"/>
            <w:tcBorders>
              <w:top w:val="single" w:color="E0E4E8" w:sz="1"/>
              <w:left w:val="single" w:color="E0E4E8" w:sz="1"/>
              <w:bottom w:val="single" w:color="E0E4E8" w:sz="1"/>
              <w:right w:val="single" w:color="E0E4E8" w:sz="1"/>
            </w:tcBorders>
            <w:shd w:fill="003B73" w:val="clear"/>
            <w:tcMar>
              <w:top w:type="dxa" w:w="80"/>
              <w:left w:type="dxa" w:w="120"/>
              <w:bottom w:type="dxa" w:w="80"/>
              <w:right w:type="dxa" w:w="120"/>
            </w:tcMar>
          </w:tcPr>
          <w:p>
            <w:r>
              <w:rPr>
                <w:rFonts w:ascii="Arial" w:cs="Arial" w:eastAsia="Arial" w:hAnsi="Arial"/>
                <w:b/>
                <w:bCs/>
                <w:color w:val="FFFFFF"/>
                <w:sz w:val="20"/>
                <w:szCs w:val="20"/>
              </w:rPr>
              <w:t xml:space="preserve">Icon</w:t>
            </w:r>
          </w:p>
        </w:tc>
        <w:tc>
          <w:tcPr>
            <w:tcW w:type="dxa" w:w="2000"/>
            <w:tcBorders>
              <w:top w:val="single" w:color="E0E4E8" w:sz="1"/>
              <w:left w:val="single" w:color="E0E4E8" w:sz="1"/>
              <w:bottom w:val="single" w:color="E0E4E8" w:sz="1"/>
              <w:right w:val="single" w:color="E0E4E8" w:sz="1"/>
            </w:tcBorders>
            <w:shd w:fill="003B73"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3200"/>
            <w:tcBorders>
              <w:top w:val="single" w:color="E0E4E8" w:sz="1"/>
              <w:left w:val="single" w:color="E0E4E8" w:sz="1"/>
              <w:bottom w:val="single" w:color="E0E4E8" w:sz="1"/>
              <w:right w:val="single" w:color="E0E4E8" w:sz="1"/>
            </w:tcBorders>
            <w:shd w:fill="003B73"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1960"/>
            <w:tcBorders>
              <w:top w:val="single" w:color="E0E4E8" w:sz="1"/>
              <w:left w:val="single" w:color="E0E4E8" w:sz="1"/>
              <w:bottom w:val="single" w:color="E0E4E8" w:sz="1"/>
              <w:right w:val="single" w:color="E0E4E8" w:sz="1"/>
            </w:tcBorders>
            <w:shd w:fill="003B73" w:val="clear"/>
            <w:tcMar>
              <w:top w:type="dxa" w:w="80"/>
              <w:left w:type="dxa" w:w="120"/>
              <w:bottom w:type="dxa" w:w="80"/>
              <w:right w:type="dxa" w:w="120"/>
            </w:tcMar>
          </w:tcPr>
          <w:p>
            <w:r>
              <w:rPr>
                <w:rFonts w:ascii="Arial" w:cs="Arial" w:eastAsia="Arial" w:hAnsi="Arial"/>
                <w:b/>
                <w:bCs/>
                <w:color w:val="FFFFFF"/>
                <w:sz w:val="20"/>
                <w:szCs w:val="20"/>
              </w:rPr>
              <w:t xml:space="preserve">Badge</w:t>
            </w:r>
          </w:p>
        </w:tc>
      </w:tr>
      <w:tr>
        <w:tc>
          <w:tcPr>
            <w:tcW w:type="dxa" w:w="22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LayoutDashboard</w:t>
            </w:r>
          </w:p>
        </w:tc>
        <w:tc>
          <w:tcPr>
            <w:tcW w:type="dxa" w:w="20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Dashboard</w:t>
            </w:r>
          </w:p>
        </w:tc>
        <w:tc>
          <w:tcPr>
            <w:tcW w:type="dxa" w:w="32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/dashboard</w:t>
            </w:r>
          </w:p>
        </w:tc>
        <w:tc>
          <w:tcPr>
            <w:tcW w:type="dxa" w:w="19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FileText</w:t>
            </w:r>
          </w:p>
        </w:tc>
        <w:tc>
          <w:tcPr>
            <w:tcW w:type="dxa" w:w="20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Briefs</w:t>
            </w:r>
          </w:p>
        </w:tc>
        <w:tc>
          <w:tcPr>
            <w:tcW w:type="dxa" w:w="32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/briefs</w:t>
            </w:r>
          </w:p>
        </w:tc>
        <w:tc>
          <w:tcPr>
            <w:tcW w:type="dxa" w:w="196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2 (pending QA)</w:t>
            </w:r>
          </w:p>
        </w:tc>
      </w:tr>
      <w:tr>
        <w:tc>
          <w:tcPr>
            <w:tcW w:type="dxa" w:w="22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BarChart3</w:t>
            </w:r>
          </w:p>
        </w:tc>
        <w:tc>
          <w:tcPr>
            <w:tcW w:type="dxa" w:w="20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Circulation</w:t>
            </w:r>
          </w:p>
        </w:tc>
        <w:tc>
          <w:tcPr>
            <w:tcW w:type="dxa" w:w="32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/dashboard/circulation</w:t>
            </w:r>
          </w:p>
        </w:tc>
        <w:tc>
          <w:tcPr>
            <w:tcW w:type="dxa" w:w="19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ShieldCheck</w:t>
            </w:r>
          </w:p>
        </w:tc>
        <w:tc>
          <w:tcPr>
            <w:tcW w:type="dxa" w:w="20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QA Gates</w:t>
            </w:r>
          </w:p>
        </w:tc>
        <w:tc>
          <w:tcPr>
            <w:tcW w:type="dxa" w:w="32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/qa-gates</w:t>
            </w:r>
          </w:p>
        </w:tc>
        <w:tc>
          <w:tcPr>
            <w:tcW w:type="dxa" w:w="196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1 (flag)</w:t>
            </w:r>
          </w:p>
        </w:tc>
      </w:tr>
      <w:tr>
        <w:tc>
          <w:tcPr>
            <w:tcW w:type="dxa" w:w="22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GitBranch</w:t>
            </w:r>
          </w:p>
        </w:tc>
        <w:tc>
          <w:tcPr>
            <w:tcW w:type="dxa" w:w="20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Versions</w:t>
            </w:r>
          </w:p>
        </w:tc>
        <w:tc>
          <w:tcPr>
            <w:tcW w:type="dxa" w:w="32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(contextual — per brief)</w:t>
            </w:r>
          </w:p>
        </w:tc>
        <w:tc>
          <w:tcPr>
            <w:tcW w:type="dxa" w:w="19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1 (revert pending)</w:t>
            </w:r>
          </w:p>
        </w:tc>
      </w:tr>
      <w:tr>
        <w:tc>
          <w:tcPr>
            <w:tcW w:type="dxa" w:w="22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Users</w:t>
            </w:r>
          </w:p>
        </w:tc>
        <w:tc>
          <w:tcPr>
            <w:tcW w:type="dxa" w:w="20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Resources</w:t>
            </w:r>
          </w:p>
        </w:tc>
        <w:tc>
          <w:tcPr>
            <w:tcW w:type="dxa" w:w="32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/resources</w:t>
            </w:r>
          </w:p>
        </w:tc>
        <w:tc>
          <w:tcPr>
            <w:tcW w:type="dxa" w:w="196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3 (overallocated)</w:t>
            </w:r>
          </w:p>
        </w:tc>
      </w:tr>
      <w:tr>
        <w:tc>
          <w:tcPr>
            <w:tcW w:type="dxa" w:w="22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Folder</w:t>
            </w:r>
          </w:p>
        </w:tc>
        <w:tc>
          <w:tcPr>
            <w:tcW w:type="dxa" w:w="20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Files</w:t>
            </w:r>
          </w:p>
        </w:tc>
        <w:tc>
          <w:tcPr>
            <w:tcW w:type="dxa" w:w="32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/files</w:t>
            </w:r>
          </w:p>
        </w:tc>
        <w:tc>
          <w:tcPr>
            <w:tcW w:type="dxa" w:w="19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Settings</w:t>
            </w:r>
          </w:p>
        </w:tc>
        <w:tc>
          <w:tcPr>
            <w:tcW w:type="dxa" w:w="20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Settings</w:t>
            </w:r>
          </w:p>
        </w:tc>
        <w:tc>
          <w:tcPr>
            <w:tcW w:type="dxa" w:w="32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/settings</w:t>
            </w:r>
          </w:p>
        </w:tc>
        <w:tc>
          <w:tcPr>
            <w:tcW w:type="dxa" w:w="196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w:t>
            </w:r>
          </w:p>
        </w:tc>
      </w:tr>
    </w:tbl>
    <w:p>
      <w:pPr>
        <w:spacing w:after="40"/>
      </w:pPr>
    </w:p>
    <w:p>
      <w:pPr>
        <w:spacing w:after="120"/>
      </w:pPr>
      <w:r>
        <w:t xml:space="preserve">Sidebar footer: User avatar (Matt Arnold), 'VML' label, notification bell with count badge.</w:t>
      </w:r>
    </w:p>
    <w:p>
      <w:pPr>
        <w:spacing w:after="120"/>
      </w:pPr>
      <w:r>
        <w:t xml:space="preserve">Sidebar header: Telkom 'T' logo (simplified — just use a bold green 'T' on blue circle for the demo) + 'Bloodstream' wordmark in white.</w:t>
      </w:r>
    </w:p>
    <w:p>
      <w:pPr>
        <w:spacing w:after="120"/>
      </w:pPr>
    </w:p>
    <w:p>
      <w:pPr>
        <w:pStyle w:val="Heading2"/>
      </w:pPr>
      <w:r>
        <w:t xml:space="preserve">3.5 Design System Guidelines</w:t>
      </w:r>
    </w:p>
    <w:p>
      <w:pPr>
        <w:spacing w:after="40"/>
      </w:pPr>
    </w:p>
    <w:p>
      <w:pPr>
        <w:pStyle w:val="Heading3"/>
      </w:pPr>
      <w:r>
        <w:t xml:space="preserve">Cards</w:t>
      </w:r>
    </w:p>
    <w:p>
      <w:pPr>
        <w:spacing w:after="120"/>
      </w:pPr>
      <w:r>
        <w:t xml:space="preserve">Background: white. Border: 1px #E0E4E8. Border-radius: 12px. Shadow: 0 1px 3px rgba(0,0,0,0.08). Hover: shadow increases to 0 4px 12px rgba(0,0,0,0.12). Left accent border: 3px solid #00B140 (green) on key metric cards.</w:t>
      </w:r>
    </w:p>
    <w:p>
      <w:pPr>
        <w:spacing w:after="40"/>
      </w:pPr>
    </w:p>
    <w:p>
      <w:pPr>
        <w:pStyle w:val="Heading3"/>
      </w:pPr>
      <w:r>
        <w:t xml:space="preserve">Buttons</w:t>
      </w:r>
    </w:p>
    <w:p>
      <w:pPr>
        <w:spacing w:after="120"/>
      </w:pPr>
      <w:r>
        <w:t xml:space="preserve">Primary: bg-telkom-green text-white, rounded-lg, hover:brightness-110. Secondary: bg-telkom-blue text-white. Outline: border-telkom-blue text-telkom-blue. Danger: bg-red-600 text-white (for revert deny only).</w:t>
      </w:r>
    </w:p>
    <w:p>
      <w:pPr>
        <w:spacing w:after="40"/>
      </w:pPr>
    </w:p>
    <w:p>
      <w:pPr>
        <w:pStyle w:val="Heading3"/>
      </w:pPr>
      <w:r>
        <w:t xml:space="preserve">Status Badges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E0E4E8" w:sz="1"/>
              <w:left w:val="single" w:color="E0E4E8" w:sz="1"/>
              <w:bottom w:val="single" w:color="E0E4E8" w:sz="1"/>
              <w:right w:val="single" w:color="E0E4E8" w:sz="1"/>
            </w:tcBorders>
            <w:shd w:fill="003B73"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400"/>
            <w:tcBorders>
              <w:top w:val="single" w:color="E0E4E8" w:sz="1"/>
              <w:left w:val="single" w:color="E0E4E8" w:sz="1"/>
              <w:bottom w:val="single" w:color="E0E4E8" w:sz="1"/>
              <w:right w:val="single" w:color="E0E4E8" w:sz="1"/>
            </w:tcBorders>
            <w:shd w:fill="003B73" w:val="clear"/>
            <w:tcMar>
              <w:top w:type="dxa" w:w="80"/>
              <w:left w:type="dxa" w:w="120"/>
              <w:bottom w:type="dxa" w:w="80"/>
              <w:right w:type="dxa" w:w="120"/>
            </w:tcMar>
          </w:tcPr>
          <w:p>
            <w:r>
              <w:rPr>
                <w:rFonts w:ascii="Arial" w:cs="Arial" w:eastAsia="Arial" w:hAnsi="Arial"/>
                <w:b/>
                <w:bCs/>
                <w:color w:val="FFFFFF"/>
                <w:sz w:val="20"/>
                <w:szCs w:val="20"/>
              </w:rPr>
              <w:t xml:space="preserve">Background</w:t>
            </w:r>
          </w:p>
        </w:tc>
        <w:tc>
          <w:tcPr>
            <w:tcW w:type="dxa" w:w="2400"/>
            <w:tcBorders>
              <w:top w:val="single" w:color="E0E4E8" w:sz="1"/>
              <w:left w:val="single" w:color="E0E4E8" w:sz="1"/>
              <w:bottom w:val="single" w:color="E0E4E8" w:sz="1"/>
              <w:right w:val="single" w:color="E0E4E8" w:sz="1"/>
            </w:tcBorders>
            <w:shd w:fill="003B73" w:val="clear"/>
            <w:tcMar>
              <w:top w:type="dxa" w:w="80"/>
              <w:left w:type="dxa" w:w="120"/>
              <w:bottom w:type="dxa" w:w="80"/>
              <w:right w:type="dxa" w:w="120"/>
            </w:tcMar>
          </w:tcPr>
          <w:p>
            <w:r>
              <w:rPr>
                <w:rFonts w:ascii="Arial" w:cs="Arial" w:eastAsia="Arial" w:hAnsi="Arial"/>
                <w:b/>
                <w:bCs/>
                <w:color w:val="FFFFFF"/>
                <w:sz w:val="20"/>
                <w:szCs w:val="20"/>
              </w:rPr>
              <w:t xml:space="preserve">Text</w:t>
            </w:r>
          </w:p>
        </w:tc>
        <w:tc>
          <w:tcPr>
            <w:tcW w:type="dxa" w:w="2160"/>
            <w:tcBorders>
              <w:top w:val="single" w:color="E0E4E8" w:sz="1"/>
              <w:left w:val="single" w:color="E0E4E8" w:sz="1"/>
              <w:bottom w:val="single" w:color="E0E4E8" w:sz="1"/>
              <w:right w:val="single" w:color="E0E4E8" w:sz="1"/>
            </w:tcBorders>
            <w:shd w:fill="003B73"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4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Passed / Completed</w:t>
            </w:r>
          </w:p>
        </w:tc>
        <w:tc>
          <w:tcPr>
            <w:tcW w:type="dxa" w:w="24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#DCFCE7 (green-100)</w:t>
            </w:r>
          </w:p>
        </w:tc>
        <w:tc>
          <w:tcPr>
            <w:tcW w:type="dxa" w:w="24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#166534 (green-800)</w:t>
            </w:r>
          </w:p>
        </w:tc>
        <w:tc>
          <w:tcPr>
            <w:tcW w:type="dxa" w:w="21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QA gates, approvals</w:t>
            </w:r>
          </w:p>
        </w:tc>
      </w:tr>
      <w:tr>
        <w:tc>
          <w:tcPr>
            <w:tcW w:type="dxa" w:w="24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In Progress</w:t>
            </w:r>
          </w:p>
        </w:tc>
        <w:tc>
          <w:tcPr>
            <w:tcW w:type="dxa" w:w="24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#DBEAFE (blue-100)</w:t>
            </w:r>
          </w:p>
        </w:tc>
        <w:tc>
          <w:tcPr>
            <w:tcW w:type="dxa" w:w="24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#1E40AF (blue-800)</w:t>
            </w:r>
          </w:p>
        </w:tc>
        <w:tc>
          <w:tcPr>
            <w:tcW w:type="dxa" w:w="216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Active work</w:t>
            </w:r>
          </w:p>
        </w:tc>
      </w:tr>
      <w:tr>
        <w:tc>
          <w:tcPr>
            <w:tcW w:type="dxa" w:w="24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Pending / Review</w:t>
            </w:r>
          </w:p>
        </w:tc>
        <w:tc>
          <w:tcPr>
            <w:tcW w:type="dxa" w:w="24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#FEF9C3 (yellow-100)</w:t>
            </w:r>
          </w:p>
        </w:tc>
        <w:tc>
          <w:tcPr>
            <w:tcW w:type="dxa" w:w="24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#854D0E (yellow-800)</w:t>
            </w:r>
          </w:p>
        </w:tc>
        <w:tc>
          <w:tcPr>
            <w:tcW w:type="dxa" w:w="21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Awaiting action</w:t>
            </w:r>
          </w:p>
        </w:tc>
      </w:tr>
      <w:tr>
        <w:tc>
          <w:tcPr>
            <w:tcW w:type="dxa" w:w="24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Failed / Blocked</w:t>
            </w:r>
          </w:p>
        </w:tc>
        <w:tc>
          <w:tcPr>
            <w:tcW w:type="dxa" w:w="24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#FEE2E2 (red-100)</w:t>
            </w:r>
          </w:p>
        </w:tc>
        <w:tc>
          <w:tcPr>
            <w:tcW w:type="dxa" w:w="24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#991B1B (red-800)</w:t>
            </w:r>
          </w:p>
        </w:tc>
        <w:tc>
          <w:tcPr>
            <w:tcW w:type="dxa" w:w="216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Failures, overdue</w:t>
            </w:r>
          </w:p>
        </w:tc>
      </w:tr>
      <w:tr>
        <w:tc>
          <w:tcPr>
            <w:tcW w:type="dxa" w:w="24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Fast-Track</w:t>
            </w:r>
          </w:p>
        </w:tc>
        <w:tc>
          <w:tcPr>
            <w:tcW w:type="dxa" w:w="24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#FED7AA (orange-100)</w:t>
            </w:r>
          </w:p>
        </w:tc>
        <w:tc>
          <w:tcPr>
            <w:tcW w:type="dxa" w:w="24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#9A3412 (orange-800)</w:t>
            </w:r>
          </w:p>
        </w:tc>
        <w:tc>
          <w:tcPr>
            <w:tcW w:type="dxa" w:w="21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Expedited items</w:t>
            </w:r>
          </w:p>
        </w:tc>
      </w:tr>
      <w:tr>
        <w:tc>
          <w:tcPr>
            <w:tcW w:type="dxa" w:w="24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Platinum</w:t>
            </w:r>
          </w:p>
        </w:tc>
        <w:tc>
          <w:tcPr>
            <w:tcW w:type="dxa" w:w="24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#E0E7FF (indigo-100)</w:t>
            </w:r>
          </w:p>
        </w:tc>
        <w:tc>
          <w:tcPr>
            <w:tcW w:type="dxa" w:w="24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#3730A3 (indigo-800)</w:t>
            </w:r>
          </w:p>
        </w:tc>
        <w:tc>
          <w:tcPr>
            <w:tcW w:type="dxa" w:w="216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Campaign tier</w:t>
            </w:r>
          </w:p>
        </w:tc>
      </w:tr>
      <w:tr>
        <w:tc>
          <w:tcPr>
            <w:tcW w:type="dxa" w:w="24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Gold</w:t>
            </w:r>
          </w:p>
        </w:tc>
        <w:tc>
          <w:tcPr>
            <w:tcW w:type="dxa" w:w="24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#FEF3C7 (amber-100)</w:t>
            </w:r>
          </w:p>
        </w:tc>
        <w:tc>
          <w:tcPr>
            <w:tcW w:type="dxa" w:w="24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#92400E (amber-800)</w:t>
            </w:r>
          </w:p>
        </w:tc>
        <w:tc>
          <w:tcPr>
            <w:tcW w:type="dxa" w:w="21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Campaign tier</w:t>
            </w:r>
          </w:p>
        </w:tc>
      </w:tr>
      <w:tr>
        <w:tc>
          <w:tcPr>
            <w:tcW w:type="dxa" w:w="24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Silver</w:t>
            </w:r>
          </w:p>
        </w:tc>
        <w:tc>
          <w:tcPr>
            <w:tcW w:type="dxa" w:w="24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#F1F5F9 (slate-100)</w:t>
            </w:r>
          </w:p>
        </w:tc>
        <w:tc>
          <w:tcPr>
            <w:tcW w:type="dxa" w:w="24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#334155 (slate-700)</w:t>
            </w:r>
          </w:p>
        </w:tc>
        <w:tc>
          <w:tcPr>
            <w:tcW w:type="dxa" w:w="216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Campaign tier</w:t>
            </w:r>
          </w:p>
        </w:tc>
      </w:tr>
      <w:tr>
        <w:tc>
          <w:tcPr>
            <w:tcW w:type="dxa" w:w="24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Bronze</w:t>
            </w:r>
          </w:p>
        </w:tc>
        <w:tc>
          <w:tcPr>
            <w:tcW w:type="dxa" w:w="24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#FFF7ED (orange-50)</w:t>
            </w:r>
          </w:p>
        </w:tc>
        <w:tc>
          <w:tcPr>
            <w:tcW w:type="dxa" w:w="24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#C2410C (orange-700)</w:t>
            </w:r>
          </w:p>
        </w:tc>
        <w:tc>
          <w:tcPr>
            <w:tcW w:type="dxa" w:w="21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Campaign tier</w:t>
            </w:r>
          </w:p>
        </w:tc>
      </w:tr>
    </w:tbl>
    <w:p>
      <w:r>
        <w:br w:type="page"/>
      </w:r>
    </w:p>
    <w:p>
      <w:pPr>
        <w:pStyle w:val="Heading3"/>
      </w:pPr>
      <w:r>
        <w:t xml:space="preserve">Charts</w:t>
      </w:r>
    </w:p>
    <w:p>
      <w:pPr>
        <w:spacing w:after="120"/>
      </w:pPr>
      <w:r>
        <w:t xml:space="preserve">Use Recharts with the following colour palette for chart elements:</w:t>
      </w:r>
    </w:p>
    <w:p>
      <w:pPr>
        <w:spacing w:after="120"/>
      </w:pPr>
      <w:r>
        <w:t xml:space="preserve">Primary series: #003B73 (blue), Secondary: #00B140 (green), Tertiary: #0077C8 (light blue), Quaternary: #FF8C00 (orange for warnings), Quinary: #4A4A4A (grey). Grid lines: #E0E4E8. Background: white. Axis labels: #4A4A4A at 12px. Tooltips: dark navy background with white text.</w:t>
      </w:r>
    </w:p>
    <w:p>
      <w:pPr>
        <w:spacing w:after="40"/>
      </w:pPr>
    </w:p>
    <w:p>
      <w:pPr>
        <w:pStyle w:val="Heading3"/>
      </w:pPr>
      <w:r>
        <w:t xml:space="preserve">Telkom Visual Motifs</w:t>
      </w:r>
    </w:p>
    <w:p>
      <w:pPr>
        <w:spacing w:after="120"/>
      </w:pPr>
      <w:r>
        <w:t xml:space="preserve">1. Diagonal gradient accent: Use the 135-degree blue-to-green gradient on hero sections, sidebar, and key CTA backgrounds.</w:t>
      </w:r>
    </w:p>
    <w:p>
      <w:pPr>
        <w:spacing w:after="120"/>
      </w:pPr>
      <w:r>
        <w:t xml:space="preserve">2. Green left-border accent: 3px solid green on the left of important cards (KPI tiles, active campaign rows).</w:t>
      </w:r>
    </w:p>
    <w:p>
      <w:pPr>
        <w:spacing w:after="120"/>
      </w:pPr>
      <w:r>
        <w:t xml:space="preserve">3. 'Possible Begins Here' watermark: Subtle, rotated 45deg, very low opacity (5%) as a background element on the dashboard hero.</w:t>
      </w:r>
    </w:p>
    <w:p>
      <w:pPr>
        <w:spacing w:after="120"/>
      </w:pPr>
      <w:r>
        <w:t xml:space="preserve">4. The 'Dynamic T': Create a simple SVG — a bold 'T' with a diagonal green line cutting through it at 135deg. Use in sidebar header and loading screens.</w:t>
      </w:r>
    </w:p>
    <w:p>
      <w:pPr>
        <w:spacing w:after="120"/>
      </w:pPr>
    </w:p>
    <w:p>
      <w:pPr>
        <w:pStyle w:val="Heading2"/>
      </w:pPr>
      <w:r>
        <w:t xml:space="preserve">3.6 Data Structure (TypeScript)</w:t>
      </w:r>
    </w:p>
    <w:p>
      <w:pPr>
        <w:spacing w:after="120"/>
      </w:pPr>
      <w:r>
        <w:t xml:space="preserve">Create a /data directory with the following files. All data is hardcoded from Section 2.</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0E4E8" w:sz="1"/>
              <w:left w:val="single" w:color="E0E4E8" w:sz="1"/>
              <w:bottom w:val="single" w:color="E0E4E8" w:sz="1"/>
              <w:right w:val="single" w:color="E0E4E8" w:sz="1"/>
            </w:tcBorders>
            <w:shd w:fill="003B73"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5760"/>
            <w:tcBorders>
              <w:top w:val="single" w:color="E0E4E8" w:sz="1"/>
              <w:left w:val="single" w:color="E0E4E8" w:sz="1"/>
              <w:bottom w:val="single" w:color="E0E4E8" w:sz="1"/>
              <w:right w:val="single" w:color="E0E4E8" w:sz="1"/>
            </w:tcBorders>
            <w:shd w:fill="003B73"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36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data/team.ts</w:t>
            </w:r>
          </w:p>
        </w:tc>
        <w:tc>
          <w:tcPr>
            <w:tcW w:type="dxa" w:w="57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Team members array — export const team: TeamMember[]</w:t>
            </w:r>
          </w:p>
        </w:tc>
      </w:tr>
      <w:tr>
        <w:tc>
          <w:tcPr>
            <w:tcW w:type="dxa" w:w="36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data/campaigns.ts</w:t>
            </w:r>
          </w:p>
        </w:tc>
        <w:tc>
          <w:tcPr>
            <w:tcW w:type="dxa" w:w="576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All 10 campaigns with full metadata</w:t>
            </w:r>
          </w:p>
        </w:tc>
      </w:tr>
      <w:tr>
        <w:tc>
          <w:tcPr>
            <w:tcW w:type="dxa" w:w="36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data/briefs/TLK-2026-0042.ts</w:t>
            </w:r>
          </w:p>
        </w:tc>
        <w:tc>
          <w:tcPr>
            <w:tcW w:type="dxa" w:w="57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Samsung Galaxy S26 brief detail (all fields from 2.3)</w:t>
            </w:r>
          </w:p>
        </w:tc>
      </w:tr>
      <w:tr>
        <w:tc>
          <w:tcPr>
            <w:tcW w:type="dxa" w:w="36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data/versions/TLK-2026-0038.ts</w:t>
            </w:r>
          </w:p>
        </w:tc>
        <w:tc>
          <w:tcPr>
            <w:tcW w:type="dxa" w:w="576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March Broadsheet version history (from 2.4)</w:t>
            </w:r>
          </w:p>
        </w:tc>
      </w:tr>
      <w:tr>
        <w:tc>
          <w:tcPr>
            <w:tcW w:type="dxa" w:w="36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data/dashboard.ts</w:t>
            </w:r>
          </w:p>
        </w:tc>
        <w:tc>
          <w:tcPr>
            <w:tcW w:type="dxa" w:w="57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KPI tiles, chart data, trend data (from 2.5)</w:t>
            </w:r>
          </w:p>
        </w:tc>
      </w:tr>
      <w:tr>
        <w:tc>
          <w:tcPr>
            <w:tcW w:type="dxa" w:w="36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data/resources.ts</w:t>
            </w:r>
          </w:p>
        </w:tc>
        <w:tc>
          <w:tcPr>
            <w:tcW w:type="dxa" w:w="576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Resource planner heatmap data (from 2.6)</w:t>
            </w:r>
          </w:p>
        </w:tc>
      </w:tr>
      <w:tr>
        <w:tc>
          <w:tcPr>
            <w:tcW w:type="dxa" w:w="36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data/qa-gates.ts</w:t>
            </w:r>
          </w:p>
        </w:tc>
        <w:tc>
          <w:tcPr>
            <w:tcW w:type="dxa" w:w="57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QA gate status per campaign + Brand Guardian scan data (from 2.7)</w:t>
            </w:r>
          </w:p>
        </w:tc>
      </w:tr>
      <w:tr>
        <w:tc>
          <w:tcPr>
            <w:tcW w:type="dxa" w:w="36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data/files.ts</w:t>
            </w:r>
          </w:p>
        </w:tc>
        <w:tc>
          <w:tcPr>
            <w:tcW w:type="dxa" w:w="576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Box folder structure and file metadata (from 2.8)</w:t>
            </w:r>
          </w:p>
        </w:tc>
      </w:tr>
      <w:tr>
        <w:tc>
          <w:tcPr>
            <w:tcW w:type="dxa" w:w="36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types/index.ts</w:t>
            </w:r>
          </w:p>
        </w:tc>
        <w:tc>
          <w:tcPr>
            <w:tcW w:type="dxa" w:w="57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All TypeScript interfaces — Campaign, Brief, Version, KPI, Resource, etc.</w:t>
            </w:r>
          </w:p>
        </w:tc>
      </w:tr>
    </w:tbl>
    <w:p>
      <w:r>
        <w:br w:type="page"/>
      </w:r>
    </w:p>
    <w:p>
      <w:pPr>
        <w:pStyle w:val="Heading2"/>
      </w:pPr>
      <w:r>
        <w:t xml:space="preserve">3.7 Demo Recording Flow (Storyboard)</w:t>
      </w:r>
    </w:p>
    <w:p>
      <w:pPr>
        <w:spacing w:after="120"/>
      </w:pPr>
      <w:r>
        <w:t xml:space="preserve">The demo video should follow this narrative arc, matching the 'Month in the Life' story:</w:t>
      </w:r>
    </w:p>
    <w:p>
      <w:pPr>
        <w:spacing w:after="40"/>
      </w:pPr>
    </w:p>
    <w:p>
      <w:pPr>
        <w:pStyle w:val="Heading3"/>
      </w:pPr>
      <w:r>
        <w:t xml:space="preserve">Scene 1: The Big Picture (Dashboard)</w:t>
      </w:r>
    </w:p>
    <w:p>
      <w:pPr>
        <w:spacing w:after="120"/>
      </w:pPr>
      <w:r>
        <w:t xml:space="preserve">Open on /dashboard. Camera shows the full pipeline — 10 active campaigns, KPI tiles glowing with positive trends. Narrator: 'This is how Telkom Retail marketing runs. Every campaign, every brief, every approval — in one place.'</w:t>
      </w:r>
    </w:p>
    <w:p>
      <w:pPr>
        <w:spacing w:after="60"/>
      </w:pPr>
    </w:p>
    <w:p>
      <w:pPr>
        <w:pStyle w:val="Heading3"/>
      </w:pPr>
      <w:r>
        <w:t xml:space="preserve">Scene 2: A Brief Comes In (Brief Intake)</w:t>
      </w:r>
    </w:p>
    <w:p>
      <w:pPr>
        <w:spacing w:after="120"/>
      </w:pPr>
      <w:r>
        <w:t xml:space="preserve">Click into the Samsung Galaxy S26 brief. Show the structured form, the AI Pulse Check scoring 87/100, the flags for missing T&amp;Cs. Narrator: 'Before any creative resource is allocated, AI checks the brief for quality, compliance gaps, and strategic alignment.'</w:t>
      </w:r>
    </w:p>
    <w:p>
      <w:pPr>
        <w:spacing w:after="60"/>
      </w:pPr>
    </w:p>
    <w:p>
      <w:pPr>
        <w:pStyle w:val="Heading3"/>
      </w:pPr>
      <w:r>
        <w:t xml:space="preserve">Scene 3: Quality at Every Gate (QA Gates)</w:t>
      </w:r>
    </w:p>
    <w:p>
      <w:pPr>
        <w:spacing w:after="120"/>
      </w:pPr>
      <w:r>
        <w:t xml:space="preserve">Navigate to /qa-gates. Show the 5-gate pipeline visual. Click into a Brand Guardian scan result showing pass/fail checks. Narrator: 'Five quality gates. Each one automated, documented, auditable. Brand Guardian catches what human eyes miss.'</w:t>
      </w:r>
    </w:p>
    <w:p>
      <w:pPr>
        <w:spacing w:after="60"/>
      </w:pPr>
    </w:p>
    <w:p>
      <w:pPr>
        <w:pStyle w:val="Heading3"/>
      </w:pPr>
      <w:r>
        <w:t xml:space="preserve">Scene 4: Total Version Control (Versions)</w:t>
      </w:r>
    </w:p>
    <w:p>
      <w:pPr>
        <w:spacing w:after="120"/>
      </w:pPr>
      <w:r>
        <w:t xml:space="preserve">Navigate to the March Broadsheet version history. Scroll through 9 versions. Click on the revert request. Show AI adjudication classifying it as a client change. Narrator: 'Every version tracked. Every change attributed. When a revert is requested, AI determines who caused the change — no blame games, just facts.'</w:t>
      </w:r>
    </w:p>
    <w:p>
      <w:pPr>
        <w:spacing w:after="60"/>
      </w:pPr>
    </w:p>
    <w:p>
      <w:pPr>
        <w:pStyle w:val="Heading3"/>
      </w:pPr>
      <w:r>
        <w:t xml:space="preserve">Scene 5: The Measurement Engine (Circulation)</w:t>
      </w:r>
    </w:p>
    <w:p>
      <w:pPr>
        <w:spacing w:after="120"/>
      </w:pPr>
      <w:r>
        <w:t xml:space="preserve">Navigate to /dashboard/circulation. Pan across charts showing improving trends — velocity down, pass rates up, revert rates declining. Narrator: 'Real-time measurement across 13 dimensions. Pipeline velocity, compliance rates, resource utilisation — all feeding a continuous improvement loop.'</w:t>
      </w:r>
    </w:p>
    <w:p>
      <w:pPr>
        <w:spacing w:after="60"/>
      </w:pPr>
    </w:p>
    <w:p>
      <w:pPr>
        <w:pStyle w:val="Heading3"/>
      </w:pPr>
      <w:r>
        <w:t xml:space="preserve">Scene 6: Resource Intelligence (Planner)</w:t>
      </w:r>
    </w:p>
    <w:p>
      <w:pPr>
        <w:spacing w:after="120"/>
      </w:pPr>
      <w:r>
        <w:t xml:space="preserve">Navigate to /resources. Show the heatmap with red cells for Aisha (95% W2). Narrator: 'Capacity planning isn't guesswork. We see bottlenecks before they happen and rebalance in real time.'</w:t>
      </w:r>
    </w:p>
    <w:p>
      <w:pPr>
        <w:spacing w:after="60"/>
      </w:pPr>
    </w:p>
    <w:p>
      <w:pPr>
        <w:pStyle w:val="Heading3"/>
      </w:pPr>
      <w:r>
        <w:t xml:space="preserve">Scene 7: Governance at Your Fingertips (Files + Close)</w:t>
      </w:r>
    </w:p>
    <w:p>
      <w:pPr>
        <w:spacing w:after="120"/>
      </w:pPr>
      <w:r>
        <w:t xml:space="preserve">Quick flash of /files showing Box integration. Return to /dashboard. Narrator: 'This is Bloodstream. The campaign intelligence platform that makes governance invisible and quality inevitable. Possible begins here.'</w:t>
      </w:r>
    </w:p>
    <w:p>
      <w:r>
        <w:br w:type="page"/>
      </w:r>
    </w:p>
    <w:p>
      <w:pPr>
        <w:pStyle w:val="Heading2"/>
      </w:pPr>
      <w:r>
        <w:t xml:space="preserve">3.8 Build Priorities</w:t>
      </w:r>
    </w:p>
    <w:p>
      <w:pPr>
        <w:spacing w:after="120"/>
      </w:pPr>
      <w:r>
        <w:t xml:space="preserve">If time is limited, build screens in this priority order:</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E0E4E8" w:sz="1"/>
              <w:left w:val="single" w:color="E0E4E8" w:sz="1"/>
              <w:bottom w:val="single" w:color="E0E4E8" w:sz="1"/>
              <w:right w:val="single" w:color="E0E4E8" w:sz="1"/>
            </w:tcBorders>
            <w:shd w:fill="003B73"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600"/>
            <w:tcBorders>
              <w:top w:val="single" w:color="E0E4E8" w:sz="1"/>
              <w:left w:val="single" w:color="E0E4E8" w:sz="1"/>
              <w:bottom w:val="single" w:color="E0E4E8" w:sz="1"/>
              <w:right w:val="single" w:color="E0E4E8" w:sz="1"/>
            </w:tcBorders>
            <w:shd w:fill="003B73"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3560"/>
            <w:tcBorders>
              <w:top w:val="single" w:color="E0E4E8" w:sz="1"/>
              <w:left w:val="single" w:color="E0E4E8" w:sz="1"/>
              <w:bottom w:val="single" w:color="E0E4E8" w:sz="1"/>
              <w:right w:val="single" w:color="E0E4E8" w:sz="1"/>
            </w:tcBorders>
            <w:shd w:fill="003B73"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22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P0 — Must Have</w:t>
            </w:r>
          </w:p>
        </w:tc>
        <w:tc>
          <w:tcPr>
            <w:tcW w:type="dxa" w:w="36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Dashboard (Hero)</w:t>
            </w:r>
          </w:p>
        </w:tc>
        <w:tc>
          <w:tcPr>
            <w:tcW w:type="dxa" w:w="35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First impression — shows the whole system</w:t>
            </w:r>
          </w:p>
        </w:tc>
      </w:tr>
      <w:tr>
        <w:tc>
          <w:tcPr>
            <w:tcW w:type="dxa" w:w="22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P0 — Must Have</w:t>
            </w:r>
          </w:p>
        </w:tc>
        <w:tc>
          <w:tcPr>
            <w:tcW w:type="dxa" w:w="36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Brief Intake + AI Pulse Check</w:t>
            </w:r>
          </w:p>
        </w:tc>
        <w:tc>
          <w:tcPr>
            <w:tcW w:type="dxa" w:w="356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Demonstrates AI intelligence layer</w:t>
            </w:r>
          </w:p>
        </w:tc>
      </w:tr>
      <w:tr>
        <w:tc>
          <w:tcPr>
            <w:tcW w:type="dxa" w:w="22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P0 — Must Have</w:t>
            </w:r>
          </w:p>
        </w:tc>
        <w:tc>
          <w:tcPr>
            <w:tcW w:type="dxa" w:w="36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Circulation Dashboard</w:t>
            </w:r>
          </w:p>
        </w:tc>
        <w:tc>
          <w:tcPr>
            <w:tcW w:type="dxa" w:w="35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The measurement story — charts are visually impressive</w:t>
            </w:r>
          </w:p>
        </w:tc>
      </w:tr>
      <w:tr>
        <w:tc>
          <w:tcPr>
            <w:tcW w:type="dxa" w:w="22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P1 — High</w:t>
            </w:r>
          </w:p>
        </w:tc>
        <w:tc>
          <w:tcPr>
            <w:tcW w:type="dxa" w:w="36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QA Gates Workflow</w:t>
            </w:r>
          </w:p>
        </w:tc>
        <w:tc>
          <w:tcPr>
            <w:tcW w:type="dxa" w:w="356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Shows the governance framework in action</w:t>
            </w:r>
          </w:p>
        </w:tc>
      </w:tr>
      <w:tr>
        <w:tc>
          <w:tcPr>
            <w:tcW w:type="dxa" w:w="22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P1 — High</w:t>
            </w:r>
          </w:p>
        </w:tc>
        <w:tc>
          <w:tcPr>
            <w:tcW w:type="dxa" w:w="36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Version History + Revert Adjudication</w:t>
            </w:r>
          </w:p>
        </w:tc>
        <w:tc>
          <w:tcPr>
            <w:tcW w:type="dxa" w:w="35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Most unique feature — AI accountability</w:t>
            </w:r>
          </w:p>
        </w:tc>
      </w:tr>
      <w:tr>
        <w:tc>
          <w:tcPr>
            <w:tcW w:type="dxa" w:w="22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P2 — Medium</w:t>
            </w:r>
          </w:p>
        </w:tc>
        <w:tc>
          <w:tcPr>
            <w:tcW w:type="dxa" w:w="360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Resource Planner Heatmap</w:t>
            </w:r>
          </w:p>
        </w:tc>
        <w:tc>
          <w:tcPr>
            <w:tcW w:type="dxa" w:w="3560"/>
            <w:tcBorders>
              <w:top w:val="single" w:color="E0E4E8" w:sz="1"/>
              <w:left w:val="single" w:color="E0E4E8" w:sz="1"/>
              <w:bottom w:val="single" w:color="E0E4E8" w:sz="1"/>
              <w:right w:val="single" w:color="E0E4E8" w:sz="1"/>
            </w:tcBorders>
            <w:shd w:fill="F5F7FA" w:val="clear"/>
            <w:tcMar>
              <w:top w:type="dxa" w:w="80"/>
              <w:left w:type="dxa" w:w="120"/>
              <w:bottom w:type="dxa" w:w="80"/>
              <w:right w:type="dxa" w:w="120"/>
            </w:tcMar>
          </w:tcPr>
          <w:p>
            <w:r>
              <w:rPr>
                <w:rFonts w:ascii="Arial" w:cs="Arial" w:eastAsia="Arial" w:hAnsi="Arial"/>
                <w:sz w:val="20"/>
                <w:szCs w:val="20"/>
              </w:rPr>
              <w:t xml:space="preserve">Supports operational narrative</w:t>
            </w:r>
          </w:p>
        </w:tc>
      </w:tr>
      <w:tr>
        <w:tc>
          <w:tcPr>
            <w:tcW w:type="dxa" w:w="22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P3 — Nice to Have</w:t>
            </w:r>
          </w:p>
        </w:tc>
        <w:tc>
          <w:tcPr>
            <w:tcW w:type="dxa" w:w="36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Box File Integration</w:t>
            </w:r>
          </w:p>
        </w:tc>
        <w:tc>
          <w:tcPr>
            <w:tcW w:type="dxa" w:w="35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sz w:val="20"/>
                <w:szCs w:val="20"/>
              </w:rPr>
              <w:t xml:space="preserve">Can be a quick file browser mockup</w:t>
            </w:r>
          </w:p>
        </w:tc>
      </w:tr>
    </w:tbl>
    <w:p>
      <w:pPr>
        <w:spacing w:after="120"/>
      </w:pPr>
    </w:p>
    <w:p>
      <w:pPr>
        <w:pStyle w:val="Heading2"/>
      </w:pPr>
      <w:r>
        <w:t xml:space="preserve">3.9 Important Build Notes</w:t>
      </w:r>
    </w:p>
    <w:p>
      <w:pPr>
        <w:spacing w:after="40"/>
      </w:pPr>
    </w:p>
    <w:p>
      <w:pPr>
        <w:spacing w:after="120"/>
      </w:pPr>
      <w:r>
        <w:rPr>
          <w:b/>
          <w:bCs/>
        </w:rPr>
        <w:t xml:space="preserve">1. This is a demo, not a product. </w:t>
      </w:r>
      <w:r>
        <w:t xml:space="preserve">Nothing needs to be functional. Buttons can be inert. Forms don't submit. The goal is visual fidelity for screen recording.</w:t>
      </w:r>
    </w:p>
    <w:p>
      <w:pPr>
        <w:spacing w:after="120"/>
      </w:pPr>
      <w:r>
        <w:rPr>
          <w:b/>
          <w:bCs/>
        </w:rPr>
        <w:t xml:space="preserve">2. Polish matters more than completeness. </w:t>
      </w:r>
      <w:r>
        <w:t xml:space="preserve">A beautiful Dashboard + Brief + Circulation is better than 7 screens that look rough. Prioritise visual quality.</w:t>
      </w:r>
    </w:p>
    <w:p>
      <w:pPr>
        <w:spacing w:after="120"/>
      </w:pPr>
      <w:r>
        <w:rPr>
          <w:b/>
          <w:bCs/>
        </w:rPr>
        <w:t xml:space="preserve">3. Responsive is not required. </w:t>
      </w:r>
      <w:r>
        <w:t xml:space="preserve">Optimise for 1920x1080 (standard screen recording resolution). Desktop only.</w:t>
      </w:r>
    </w:p>
    <w:p>
      <w:pPr>
        <w:spacing w:after="120"/>
      </w:pPr>
      <w:r>
        <w:rPr>
          <w:b/>
          <w:bCs/>
        </w:rPr>
        <w:t xml:space="preserve">4. Animations should be subtle. </w:t>
      </w:r>
      <w:r>
        <w:t xml:space="preserve">Page transitions (fade in), hover states on cards, and a gentle pulse on active QA gates. No heavy animations.</w:t>
      </w:r>
    </w:p>
    <w:p>
      <w:pPr>
        <w:spacing w:after="120"/>
      </w:pPr>
      <w:r>
        <w:rPr>
          <w:b/>
          <w:bCs/>
        </w:rPr>
        <w:t xml:space="preserve">5. Use the Telkom brand boldly. </w:t>
      </w:r>
      <w:r>
        <w:t xml:space="preserve">This isn't a generic SaaS dashboard. The blue-green palette, the diagonal motifs, and the 'Possible Begins Here' tagline should make it unmistakably Telkom.</w:t>
      </w:r>
    </w:p>
    <w:p>
      <w:pPr>
        <w:spacing w:after="120"/>
      </w:pPr>
      <w:r>
        <w:rPr>
          <w:b/>
          <w:bCs/>
        </w:rPr>
        <w:t xml:space="preserve">6. All data comes from Section 2. </w:t>
      </w:r>
      <w:r>
        <w:t xml:space="preserve">Do not generate new data. Use exactly the campaigns, team members, KPIs, versions, and scan results documented in this brief. Consistency is critical.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4A4A4A"/>
        <w:sz w:val="16"/>
        <w:szCs w:val="16"/>
      </w:rPr>
      <w:t xml:space="preserve">VML — Confidential</w:t>
    </w:r>
    <w:r>
      <w:rPr>
        <w:rFonts w:ascii="Arial" w:cs="Arial" w:eastAsia="Arial" w:hAnsi="Arial"/>
        <w:color w:val="4A4A4A"/>
        <w:sz w:val="16"/>
        <w:szCs w:val="16"/>
      </w:rPr>
      <w:t xml:space="preserve">	Page </w:t>
    </w:r>
    <w:r>
      <w:rPr>
        <w:rFonts w:ascii="Arial" w:cs="Arial" w:eastAsia="Arial" w:hAnsi="Arial"/>
        <w:color w:val="4A4A4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003B73"/>
        <w:sz w:val="16"/>
        <w:szCs w:val="16"/>
      </w:rPr>
      <w:t xml:space="preserve">BLOODSTREAM </w:t>
    </w:r>
    <w:r>
      <w:rPr>
        <w:rFonts w:ascii="Arial" w:cs="Arial" w:eastAsia="Arial" w:hAnsi="Arial"/>
        <w:color w:val="4A4A4A"/>
        <w:sz w:val="16"/>
        <w:szCs w:val="16"/>
      </w:rPr>
      <w:t xml:space="preserve">| Telkom Demo Build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01F3F"/>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003B73"/>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003B7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Bloodstream Telkom Demo — Mockup Data &amp; Build Brief</dc:title>
  <dc:creator>VML</dc:creator>
  <dc:description>Complete build brief for Telkom-branded Bloodstream demo instance</dc:description>
  <cp:lastModifiedBy>Un-named</cp:lastModifiedBy>
  <cp:revision>1</cp:revision>
  <dcterms:created xsi:type="dcterms:W3CDTF">2026-03-10T16:25:12.705Z</dcterms:created>
  <dcterms:modified xsi:type="dcterms:W3CDTF">2026-03-10T16:25:12.708Z</dcterms:modified>
</cp:coreProperties>
</file>

<file path=docProps/custom.xml><?xml version="1.0" encoding="utf-8"?>
<Properties xmlns="http://schemas.openxmlformats.org/officeDocument/2006/custom-properties" xmlns:vt="http://schemas.openxmlformats.org/officeDocument/2006/docPropsVTypes"/>
</file>