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Tower Explorer</w:t>
      </w:r>
    </w:p>
    <w:p>
      <w:pPr>
        <w:spacing w:after="60"/>
      </w:pPr>
      <w:r>
        <w:rPr>
          <w:rFonts w:ascii="Arial" w:cs="Arial" w:eastAsia="Arial" w:hAnsi="Arial"/>
          <w:color w:val="2E5E9E"/>
          <w:sz w:val="26"/>
          <w:szCs w:val="26"/>
        </w:rPr>
        <w:t xml:space="preserve">Data Ingest POC Brief: ANFR, FCC ASR, OpenCelliD</w:t>
      </w:r>
    </w:p>
    <w:p>
      <w:pPr>
        <w:pBdr>
          <w:bottom w:val="single" w:color="1F3864" w:sz="8"/>
        </w:pBdr>
        <w:spacing w:after="240"/>
      </w:pPr>
      <w:r>
        <w:rPr>
          <w:rFonts w:ascii="Arial" w:cs="Arial" w:eastAsia="Arial" w:hAnsi="Arial"/>
          <w:color w:val="595959"/>
          <w:sz w:val="18"/>
          <w:szCs w:val="18"/>
        </w:rPr>
        <w:t xml:space="preserve">Version 1.0  |  4 July 2026  |  Working document for Claude Code sessions  |  Repo: github.com/matthewbucklebury/gsma</w:t>
      </w:r>
    </w:p>
    <w:p>
      <w:pPr>
        <w:pStyle w:val="Heading1"/>
      </w:pPr>
      <w:r>
        <w:t xml:space="preserve">1. Purpose and scope</w:t>
      </w:r>
    </w:p>
    <w:p>
      <w:pPr>
        <w:spacing w:after="120"/>
      </w:pPr>
      <w:r>
        <w:rPr>
          <w:rFonts w:ascii="Arial" w:cs="Arial" w:eastAsia="Arial" w:hAnsi="Arial"/>
          <w:sz w:val="21"/>
          <w:szCs w:val="21"/>
        </w:rPr>
        <w:t xml:space="preserve">This brief defines a limited proof of concept for the Tower Explorer data ingest layer. It fixes the target before any code is written, so that Claude Code sessions build to a stable contract instead of rediscovering decisions.</w:t>
      </w:r>
    </w:p>
    <w:p>
      <w:pPr>
        <w:spacing w:after="120"/>
      </w:pPr>
      <w:r>
        <w:rPr>
          <w:rFonts w:ascii="Arial" w:cs="Arial" w:eastAsia="Arial" w:hAnsi="Arial"/>
          <w:sz w:val="21"/>
          <w:szCs w:val="21"/>
        </w:rPr>
        <w:t xml:space="preserve">The POC covers three sources and two levels of data:</w:t>
      </w:r>
    </w:p>
    <w:p>
      <w:pPr>
        <w:pStyle w:val="ListParagraph"/>
        <w:numPr>
          <w:ilvl w:val="0"/>
          <w:numId w:val="2"/>
        </w:numPr>
        <w:spacing w:after="80"/>
      </w:pPr>
      <w:r>
        <w:rPr>
          <w:rFonts w:ascii="Arial" w:cs="Arial" w:eastAsia="Arial" w:hAnsi="Arial"/>
          <w:sz w:val="21"/>
          <w:szCs w:val="21"/>
        </w:rPr>
        <w:t xml:space="preserve">ANFR (France): structure-level records for every authorised radio site in France. The reference adapter. It also demonstrates the coverage manifest: explicit empty result sets for every market outside France.</w:t>
      </w:r>
    </w:p>
    <w:p>
      <w:pPr>
        <w:pStyle w:val="ListParagraph"/>
        <w:numPr>
          <w:ilvl w:val="0"/>
          <w:numId w:val="2"/>
        </w:numPr>
        <w:spacing w:after="80"/>
      </w:pPr>
      <w:r>
        <w:rPr>
          <w:rFonts w:ascii="Arial" w:cs="Arial" w:eastAsia="Arial" w:hAnsi="Arial"/>
          <w:sz w:val="21"/>
          <w:szCs w:val="21"/>
        </w:rPr>
        <w:t xml:space="preserve">FCC ASR (United States): structure-level records for registered antenna structures. A partial register by design, covering only structures that require FAA notice (broadly, above 200 feet or near airport flight paths) plus voluntary registrations. The adapter must carry this caveat in the data itself.</w:t>
      </w:r>
    </w:p>
    <w:p>
      <w:pPr>
        <w:pStyle w:val="ListParagraph"/>
        <w:numPr>
          <w:ilvl w:val="0"/>
          <w:numId w:val="2"/>
        </w:numPr>
        <w:spacing w:after="80"/>
      </w:pPr>
      <w:r>
        <w:rPr>
          <w:rFonts w:ascii="Arial" w:cs="Arial" w:eastAsia="Arial" w:hAnsi="Arial"/>
          <w:sz w:val="21"/>
          <w:szCs w:val="21"/>
        </w:rPr>
        <w:t xml:space="preserve">OpenCelliD (global): market-level cell statistics only. Total cell counts per market, broken down by operator and radio technology. No location-level data is ingested, stored, or displayed at this stage.</w:t>
      </w:r>
    </w:p>
    <w:p>
      <w:pPr>
        <w:spacing w:after="120"/>
      </w:pPr>
      <w:r>
        <w:rPr>
          <w:rFonts w:ascii="Arial" w:cs="Arial" w:eastAsia="Arial" w:hAnsi="Arial"/>
          <w:sz w:val="21"/>
          <w:szCs w:val="21"/>
        </w:rPr>
        <w:t xml:space="preserve">The POC proves three things: a common adapter contract works across an API source, a bulk-file source, and an aggregate-only source; the Explorer can hold several non-reconciled, source-tagged layers side by side; and coverage gaps are represented honestly rather than as silent absence.</w:t>
      </w:r>
    </w:p>
    <w:p>
      <w:pPr>
        <w:pStyle w:val="Heading2"/>
      </w:pPr>
      <w:r>
        <w:t xml:space="preserve">1.1 Non-goals</w:t>
      </w:r>
    </w:p>
    <w:p>
      <w:pPr>
        <w:pStyle w:val="ListParagraph"/>
        <w:numPr>
          <w:ilvl w:val="0"/>
          <w:numId w:val="2"/>
        </w:numPr>
        <w:spacing w:after="80"/>
      </w:pPr>
      <w:r>
        <w:rPr>
          <w:rFonts w:ascii="Arial" w:cs="Arial" w:eastAsia="Arial" w:hAnsi="Arial"/>
          <w:sz w:val="21"/>
          <w:szCs w:val="21"/>
        </w:rPr>
        <w:t xml:space="preserve">No reconciliation or clustering of cells to structures. That is the next phase.</w:t>
      </w:r>
    </w:p>
    <w:p>
      <w:pPr>
        <w:pStyle w:val="ListParagraph"/>
        <w:numPr>
          <w:ilvl w:val="0"/>
          <w:numId w:val="2"/>
        </w:numPr>
        <w:spacing w:after="80"/>
      </w:pPr>
      <w:r>
        <w:rPr>
          <w:rFonts w:ascii="Arial" w:cs="Arial" w:eastAsia="Arial" w:hAnsi="Arial"/>
          <w:sz w:val="21"/>
          <w:szCs w:val="21"/>
        </w:rPr>
        <w:t xml:space="preserve">No location-level OpenCelliD ingest. Market totals only.</w:t>
      </w:r>
    </w:p>
    <w:p>
      <w:pPr>
        <w:pStyle w:val="ListParagraph"/>
        <w:numPr>
          <w:ilvl w:val="0"/>
          <w:numId w:val="2"/>
        </w:numPr>
        <w:spacing w:after="80"/>
      </w:pPr>
      <w:r>
        <w:rPr>
          <w:rFonts w:ascii="Arial" w:cs="Arial" w:eastAsia="Arial" w:hAnsi="Arial"/>
          <w:sz w:val="21"/>
          <w:szCs w:val="21"/>
        </w:rPr>
        <w:t xml:space="preserve">No tenancy inference, no ownership graphs beyond what the sources state directly.</w:t>
      </w:r>
    </w:p>
    <w:p>
      <w:pPr>
        <w:pStyle w:val="ListParagraph"/>
        <w:numPr>
          <w:ilvl w:val="0"/>
          <w:numId w:val="2"/>
        </w:numPr>
        <w:spacing w:after="80"/>
      </w:pPr>
      <w:r>
        <w:rPr>
          <w:rFonts w:ascii="Arial" w:cs="Arial" w:eastAsia="Arial" w:hAnsi="Arial"/>
          <w:sz w:val="21"/>
          <w:szCs w:val="21"/>
        </w:rPr>
        <w:t xml:space="preserve">No pricing, rate-card, or lease data from any source, ever. This is a standing antitrust guardrail, not a POC deferral.</w:t>
      </w:r>
    </w:p>
    <w:p>
      <w:pPr>
        <w:pStyle w:val="Heading1"/>
      </w:pPr>
      <w:r>
        <w:t xml:space="preserve">2. Coverage manifest principle</w:t>
      </w:r>
    </w:p>
    <w:p>
      <w:pPr>
        <w:spacing w:after="120"/>
      </w:pPr>
      <w:r>
        <w:rPr>
          <w:rFonts w:ascii="Arial" w:cs="Arial" w:eastAsia="Arial" w:hAnsi="Arial"/>
          <w:sz w:val="21"/>
          <w:szCs w:val="21"/>
        </w:rPr>
        <w:t xml:space="preserve">Every adapter declares the markets it covers and the completeness of that coverage. A query for a market an adapter does not cover must return an explicit empty result set with a status code, so the Explorer can distinguish three states that look identical in a naive implementation: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200"/>
      </w:tblGrid>
      <w:tr>
        <w:trPr>
          <w:tblHeader/>
        </w:trPr>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Status</w:t>
            </w:r>
          </w:p>
        </w:tc>
        <w:tc>
          <w:tcPr>
            <w:tcW w:type="dxa" w:w="4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Meaning</w:t>
            </w:r>
          </w:p>
        </w:tc>
        <w:tc>
          <w:tcPr>
            <w:tcW w:type="dxa" w:w="3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Example</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covered_full</w:t>
            </w:r>
          </w:p>
        </w:tc>
        <w:tc>
          <w:tcPr>
            <w:tcW w:type="dxa" w:w="4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Source claims complete coverage of the asset class in this market</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ANFR for France</w:t>
            </w:r>
          </w:p>
        </w:tc>
      </w:tr>
      <w:tr>
        <w:tc>
          <w:tcPr>
            <w:tcW w:type="dxa" w:w="18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covered_partial</w:t>
            </w:r>
          </w:p>
        </w:tc>
        <w:tc>
          <w:tcPr>
            <w:tcW w:type="dxa" w:w="4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Source covers the market but only a defined subset of assets</w:t>
            </w:r>
          </w:p>
        </w:tc>
        <w:tc>
          <w:tcPr>
            <w:tcW w:type="dxa" w:w="3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FCC ASR for the USA (registered structures only)</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not_covered</w:t>
            </w:r>
          </w:p>
        </w:tc>
        <w:tc>
          <w:tcPr>
            <w:tcW w:type="dxa" w:w="4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Source has no remit in this market; empty set returned by design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ANFR for any market other than France</w:t>
            </w:r>
          </w:p>
        </w:tc>
      </w:tr>
    </w:tbl>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The ANFR adapter therefore ships with a generated empty-result manifest for all ISO 3166 markets except FR. This is deliberate: the Explorer UI should render "not covered by this source" rather than an ambiguous zero, and downstream joins should never mistake absence of remit for absence of infrastructure.</w:t>
      </w:r>
    </w:p>
    <w:p>
      <w:pPr>
        <w:pStyle w:val="Heading1"/>
      </w:pPr>
      <w:r>
        <w:t xml:space="preserve">3. Standard data model</w:t>
      </w:r>
    </w:p>
    <w:p>
      <w:pPr>
        <w:spacing w:after="120"/>
      </w:pPr>
      <w:r>
        <w:rPr>
          <w:rFonts w:ascii="Arial" w:cs="Arial" w:eastAsia="Arial" w:hAnsi="Arial"/>
          <w:sz w:val="21"/>
          <w:szCs w:val="21"/>
        </w:rPr>
        <w:t xml:space="preserve">Three tables. All adapters write to these and nothing else.</w:t>
      </w:r>
    </w:p>
    <w:p>
      <w:pPr>
        <w:pStyle w:val="Heading2"/>
      </w:pPr>
      <w:r>
        <w:t xml:space="preserve">3.1 structures</w:t>
      </w:r>
    </w:p>
    <w:p>
      <w:pPr>
        <w:spacing w:after="120"/>
      </w:pPr>
      <w:r>
        <w:rPr>
          <w:rFonts w:ascii="Arial" w:cs="Arial" w:eastAsia="Arial" w:hAnsi="Arial"/>
          <w:sz w:val="21"/>
          <w:szCs w:val="21"/>
        </w:rPr>
        <w:t xml:space="preserve">One row per physical structure, from structure-level sources (ANFR, FCC ASR).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2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6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structure_uid</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Deterministic: {source}:{source_record_id}. No cross-source IDs in this phase.</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source</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anfr | fcc_asr</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source_record_id</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Native ID (ANFR support ID, FCC registration number)</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country_iso2</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FR, US</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lat / lon</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float</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WGS84 decimal degrees; converted where source uses DMS</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structure_type</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Normalised: mast | tower | pylon | rooftop | water_tower | building | other</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structure_type_raw</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Source value, untranslated, for audit</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height_m</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float</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Metres; convert from feet for FCC</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owner</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Registrant or proprietor as stated by the source</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operators</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Semicolon list of operators present, where the source provides it (ANFR yes, ASR no)</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status</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active | dismantled | granted | other (normalised per source)</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record_date</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date</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Source-stated last update where available, else snapshot date</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snapshot_date</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date</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Date of the ingest run</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coverage_status</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covered_full | covered_partial (inherited from manifest)</w:t>
            </w:r>
          </w:p>
        </w:tc>
      </w:tr>
    </w:tbl>
    <w:p>
      <w:pPr>
        <w:pStyle w:val="Heading2"/>
      </w:pPr>
      <w:r>
        <w:t xml:space="preserve">3.2 market_cell_stats</w:t>
      </w:r>
    </w:p>
    <w:p>
      <w:pPr>
        <w:spacing w:after="120"/>
      </w:pPr>
      <w:r>
        <w:rPr>
          <w:rFonts w:ascii="Arial" w:cs="Arial" w:eastAsia="Arial" w:hAnsi="Arial"/>
          <w:sz w:val="21"/>
          <w:szCs w:val="21"/>
        </w:rPr>
        <w:t xml:space="preserve">One row per market, operator, and radio technology, from OpenCelliD. Aggregates only.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2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6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country_iso2</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Mapped from MCC via a static lookup table held in the repo</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mcc</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int</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Mobile country code</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mnc</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int</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Mobile network code (OpenCelliD 'net' column)</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operator_name</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Mapped from MCC+MNC via static lookup; blank where unmapped</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radio</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GSM | UMTS | LTE | NR | CDMA</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cell_count</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int</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Count of distinct cells in the source snapshot</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sample_count</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int</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Sum of measurement samples; a rough quality signal</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latest_update</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date</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Max of source 'updated' field within the group</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snapshot_date</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date</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Date of the ingest run</w:t>
            </w:r>
          </w:p>
        </w:tc>
      </w:tr>
    </w:tbl>
    <w:p>
      <w:pPr>
        <w:spacing w:after="120"/>
      </w:pPr>
      <w:r>
        <w:rPr>
          <w:rFonts w:ascii="Arial" w:cs="Arial" w:eastAsia="Arial" w:hAnsi="Arial"/>
          <w:i/>
          <w:iCs/>
          <w:color w:val="595959"/>
          <w:sz w:val="19"/>
          <w:szCs w:val="19"/>
        </w:rPr>
        <w:t xml:space="preserve">Crowdsourced caveat carried in metadata: cell counts reflect observation density, not network size. Cross-market comparisons say as much about contributor activity as about infrastructure and must be labelled accordingly in any Explorer view.</w:t>
      </w:r>
    </w:p>
    <w:p>
      <w:pPr>
        <w:pStyle w:val="Heading2"/>
      </w:pPr>
      <w:r>
        <w:t xml:space="preserve">3.3 source_manifest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2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6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source</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Adapter identifier</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country_iso2</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One row per market per source, all ISO markets enumerated</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coverage_status</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covered_full | covered_partial | not_covered</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coverage_note</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Human-readable caveat, e.g. the ASR 200-foot rule</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licence</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Licence string and attribution requirement</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refresh_cadence</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6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weekly | monthly | quarterly</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last_ingest</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datetime</w:t>
            </w:r>
          </w:p>
        </w:tc>
        <w:tc>
          <w:tcPr>
            <w:tcW w:type="dxa" w:w="6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Set by the pipeline on each successful run</w:t>
            </w:r>
          </w:p>
        </w:tc>
      </w:tr>
    </w:tbl>
    <w:p>
      <w:r>
        <w:br w:type="page"/>
      </w:r>
    </w:p>
    <w:p>
      <w:pPr>
        <w:pStyle w:val="Heading1"/>
      </w:pPr>
      <w:r>
        <w:t xml:space="preserve">4. Standard adapter contract</w:t>
      </w:r>
    </w:p>
    <w:p>
      <w:pPr>
        <w:spacing w:after="120"/>
      </w:pPr>
      <w:r>
        <w:rPr>
          <w:rFonts w:ascii="Arial" w:cs="Arial" w:eastAsia="Arial" w:hAnsi="Arial"/>
          <w:sz w:val="21"/>
          <w:szCs w:val="21"/>
        </w:rPr>
        <w:t xml:space="preserve">Each adapter is a Python module exposing the same four-stage pipeline. Stages are separately runnable so failures are isolated and raw data is never lost.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5600"/>
        <w:gridCol w:w="2700"/>
      </w:tblGrid>
      <w:tr>
        <w:trPr>
          <w:tblHeader/>
        </w:trPr>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Stage</w:t>
            </w:r>
          </w:p>
        </w:tc>
        <w:tc>
          <w:tcPr>
            <w:tcW w:type="dxa" w:w="5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c>
          <w:tcPr>
            <w:tcW w:type="dxa" w:w="2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Output</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fetch</w:t>
            </w:r>
          </w:p>
        </w:tc>
        <w:tc>
          <w:tcPr>
            <w:tcW w:type="dxa" w:w="5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Pull raw data from the source. No transformation. Retries with backoff. Respects rate limits.</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Raw files in data/raw/{source}/{snapshot_date}/</w:t>
            </w:r>
          </w:p>
        </w:tc>
      </w:tr>
      <w:tr>
        <w:tc>
          <w:tcPr>
            <w:tcW w:type="dxa" w:w="13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validate</w:t>
            </w:r>
          </w:p>
        </w:tc>
        <w:tc>
          <w:tcPr>
            <w:tcW w:type="dxa" w:w="5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Check the raw payload against expectations: row counts within tolerance of the last run, mandatory columns present, schema drift detected and reported.</w:t>
            </w:r>
          </w:p>
        </w:tc>
        <w:tc>
          <w:tcPr>
            <w:tcW w:type="dxa" w:w="2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Pass/fail plus a validation report (JSON)</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normalise</w:t>
            </w:r>
          </w:p>
        </w:tc>
        <w:tc>
          <w:tcPr>
            <w:tcW w:type="dxa" w:w="5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Map raw fields to the standard data model. Unit conversion, coordinate conversion, type normalisation. Unmappable rows quarantined, not dropped silently.</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Parquet files in data/normalised/{source}/{snapshot_date}/</w:t>
            </w:r>
          </w:p>
        </w:tc>
      </w:tr>
      <w:tr>
        <w:tc>
          <w:tcPr>
            <w:tcW w:type="dxa" w:w="13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emit</w:t>
            </w:r>
          </w:p>
        </w:tc>
        <w:tc>
          <w:tcPr>
            <w:tcW w:type="dxa" w:w="5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Write to the Explorer store, update source_manifest.last_ingest, write the run log.</w:t>
            </w:r>
          </w:p>
        </w:tc>
        <w:tc>
          <w:tcPr>
            <w:tcW w:type="dxa" w:w="2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Updated tables plus run record</w:t>
            </w:r>
          </w:p>
        </w:tc>
      </w:tr>
    </w:tbl>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Common rules across all adapters:</w:t>
      </w:r>
    </w:p>
    <w:p>
      <w:pPr>
        <w:pStyle w:val="ListParagraph"/>
        <w:numPr>
          <w:ilvl w:val="0"/>
          <w:numId w:val="2"/>
        </w:numPr>
        <w:spacing w:after="80"/>
      </w:pPr>
      <w:r>
        <w:rPr>
          <w:rFonts w:ascii="Arial" w:cs="Arial" w:eastAsia="Arial" w:hAnsi="Arial"/>
          <w:sz w:val="21"/>
          <w:szCs w:val="21"/>
        </w:rPr>
        <w:t xml:space="preserve">Idempotent by snapshot date: re-running a stage for the same date overwrites that date's output and nothing else.</w:t>
      </w:r>
    </w:p>
    <w:p>
      <w:pPr>
        <w:pStyle w:val="ListParagraph"/>
        <w:numPr>
          <w:ilvl w:val="0"/>
          <w:numId w:val="2"/>
        </w:numPr>
        <w:spacing w:after="80"/>
      </w:pPr>
      <w:r>
        <w:rPr>
          <w:rFonts w:ascii="Arial" w:cs="Arial" w:eastAsia="Arial" w:hAnsi="Arial"/>
          <w:sz w:val="21"/>
          <w:szCs w:val="21"/>
        </w:rPr>
        <w:t xml:space="preserve">Raw snapshots are retained. Normalisation bugs are fixed by re-running normalise on stored raw data, never by re-fetching.</w:t>
      </w:r>
    </w:p>
    <w:p>
      <w:pPr>
        <w:pStyle w:val="ListParagraph"/>
        <w:numPr>
          <w:ilvl w:val="0"/>
          <w:numId w:val="2"/>
        </w:numPr>
        <w:spacing w:after="80"/>
      </w:pPr>
      <w:r>
        <w:rPr>
          <w:rFonts w:ascii="Arial" w:cs="Arial" w:eastAsia="Arial" w:hAnsi="Arial"/>
          <w:sz w:val="21"/>
          <w:szCs w:val="21"/>
        </w:rPr>
        <w:t xml:space="preserve">Every output row carries source and snapshot_date. No anonymous data anywhere in the store.</w:t>
      </w:r>
    </w:p>
    <w:p>
      <w:pPr>
        <w:pStyle w:val="ListParagraph"/>
        <w:numPr>
          <w:ilvl w:val="0"/>
          <w:numId w:val="2"/>
        </w:numPr>
        <w:spacing w:after="80"/>
      </w:pPr>
      <w:r>
        <w:rPr>
          <w:rFonts w:ascii="Arial" w:cs="Arial" w:eastAsia="Arial" w:hAnsi="Arial"/>
          <w:sz w:val="21"/>
          <w:szCs w:val="21"/>
        </w:rPr>
        <w:t xml:space="preserve">Secrets (the OpenCelliD API key) come from environment variables. Nothing sensitive is committed to the repo.</w:t>
      </w:r>
    </w:p>
    <w:p>
      <w:pPr>
        <w:pStyle w:val="ListParagraph"/>
        <w:numPr>
          <w:ilvl w:val="0"/>
          <w:numId w:val="2"/>
        </w:numPr>
        <w:spacing w:after="80"/>
      </w:pPr>
      <w:r>
        <w:rPr>
          <w:rFonts w:ascii="Arial" w:cs="Arial" w:eastAsia="Arial" w:hAnsi="Arial"/>
          <w:sz w:val="21"/>
          <w:szCs w:val="21"/>
        </w:rPr>
        <w:t xml:space="preserve">One shared CLI: python -m ingest {source} {stage} --date YYYY-MM-DD, with --all to run the full pipeline.</w:t>
      </w:r>
    </w:p>
    <w:p>
      <w:pPr>
        <w:pStyle w:val="Heading1"/>
      </w:pPr>
      <w:r>
        <w:t xml:space="preserve">5. Per-source extraction specifications</w:t>
      </w:r>
    </w:p>
    <w:p>
      <w:pPr>
        <w:pStyle w:val="Heading2"/>
      </w:pPr>
      <w:r>
        <w:t xml:space="preserve">5.1 ANFR (reference adapter)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7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Specification</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Access route</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Two options, decide at build time: (a) the OpenDataSoft API on data.anfr.fr, paginated JSON/GeoJSON; (b) the bulk open-data export (ZIP of CSV tables covering supports, antennas, transmitters, stations and lookup tables). Recommendation: bulk export for the POC, it avoids pagination limits and gives the full relational structure in one pull.</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Key tables (bulk route)</w:t>
            </w:r>
          </w:p>
        </w:tc>
        <w:tc>
          <w:tcPr>
            <w:tcW w:type="dxa" w:w="7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Support table (structure ID, coordinates, type, height, proprietor), antenna and transmitter tables (technology, band, operator), plus code lookup tables for structure nature, proprietor, and operator. Exact file names and dataset slugs to be confirmed against the portal at build time and pinned in the adapter config.</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Coordinate handling</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ANFR publishes DMS components in the bulk tables; convert to WGS84 decimal degrees in normalise.</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Mapping notes</w:t>
            </w:r>
          </w:p>
        </w:tc>
        <w:tc>
          <w:tcPr>
            <w:tcW w:type="dxa" w:w="7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Structure = one support row. operators = distinct operators across that support's transmitters. structure_type mapped from the nature lookup, raw value retained.</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Refresh</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Monthly, matching ANFR publication.</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Licence</w:t>
            </w:r>
          </w:p>
        </w:tc>
        <w:tc>
          <w:tcPr>
            <w:tcW w:type="dxa" w:w="7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Licence Ouverte (Etalab). Attribution: ANFR, data.anfr.fr.</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Manifest</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covered_full for FR. not_covered rows generated for every other ISO market.</w:t>
            </w:r>
          </w:p>
        </w:tc>
      </w:tr>
    </w:tbl>
    <w:p>
      <w:pPr>
        <w:pStyle w:val="Heading2"/>
      </w:pPr>
      <w:r>
        <w:t xml:space="preserve">5.2 FCC ASR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7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Specification</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Access route</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Weekly complete bulk download (pipe-delimited .dat files in a ZIP, historically r_tower.zip under the FCC ULS/ASR download area). Daily transaction files exist but are out of scope; weekly full replace is simpler and sufficient.</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Key files</w:t>
            </w:r>
          </w:p>
        </w:tc>
        <w:tc>
          <w:tcPr>
            <w:tcW w:type="dxa" w:w="7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Registration file (registration number, status, coordinates in DMS components, overall height, structure type) and entity file (registrant name and address), joined on registration number. Confirm file names against the FCC ASR data dictionary at build time and pin in config.</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Completeness caveat</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ASR covers only structures requiring FAA notice (broadly above 200 feet or near airport flight paths) plus voluntary registrations. It skews to macro towers and excludes most rooftops and small structures. coverage_status = covered_partial, with this caveat verbatim in coverage_note. Every US view in the Explorer must surface it.</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Unit and coordinate handling</w:t>
            </w:r>
          </w:p>
        </w:tc>
        <w:tc>
          <w:tcPr>
            <w:tcW w:type="dxa" w:w="7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Heights are in metres in ASR (verify at build time; convert if feet). Coordinates arrive as separate degree, minute, second, direction fields; convert to signed decimal degrees.</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Mapping notes</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owner = registrant entity name. This enables direct portfolio mapping for American Tower, SBA, Crown Castle and others, which is the headline analytical payoff of this adapter.</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Status filter</w:t>
            </w:r>
          </w:p>
        </w:tc>
        <w:tc>
          <w:tcPr>
            <w:tcW w:type="dxa" w:w="7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Ingest all statuses, normalise to the standard status field. Default Explorer views filter to constructed/granted.</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Refresh</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Weekly, full replace per snapshot.</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Licence</w:t>
            </w:r>
          </w:p>
        </w:tc>
        <w:tc>
          <w:tcPr>
            <w:tcW w:type="dxa" w:w="7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US Government public domain. No attribution constraint.</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Manifest</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covered_partial for US. not_covered for all other markets.</w:t>
            </w:r>
          </w:p>
        </w:tc>
      </w:tr>
    </w:tbl>
    <w:p>
      <w:pPr>
        <w:pStyle w:val="Heading2"/>
      </w:pPr>
      <w:r>
        <w:t xml:space="preserve">5.3 OpenCelliD (market aggregates only)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7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Specification</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Access route</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Bulk full export (cell_towers.csv.gz) via authenticated download URL with API key from environment variable. Do not use the per-lookup API; it is unnecessary for aggregates and burns quota.</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Source columns used</w:t>
            </w:r>
          </w:p>
        </w:tc>
        <w:tc>
          <w:tcPr>
            <w:tcW w:type="dxa" w:w="7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radio, mcc, net, cell identifiers for distinct counting, samples, updated. The lon/lat columns are read for nothing: they are dropped at the earliest possible point in normalise and never written to any output.</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Aggregation</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GROUP BY mcc, net, radio producing cell_count (distinct cells), sample_count (sum of samples), latest_update (max of updated). Then join static MCC-to-country and MCC+MNC-to-operator lookup tables held as CSV in the repo.</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Explicit exclusion</w:t>
            </w:r>
          </w:p>
        </w:tc>
        <w:tc>
          <w:tcPr>
            <w:tcW w:type="dxa" w:w="7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No location-level data at this phase. The raw file necessarily contains coordinates; the design point is that they do not survive normalisation. If location-level ingest is approved later, it is a new adapter decision, not a config flag.</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Quality caveat</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Counts are observation-driven. Carry the crowdsourced caveat in source_manifest.coverage_note and set coverage_status = covered_partial for every market.</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Refresh</w:t>
            </w:r>
          </w:p>
        </w:tc>
        <w:tc>
          <w:tcPr>
            <w:tcW w:type="dxa" w:w="7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Quarterly is sufficient for market-level trend lines; the file is large and daily deltas add nothing at this granularity.</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Licence</w:t>
            </w:r>
          </w:p>
        </w:tc>
        <w:tc>
          <w:tcPr>
            <w:tcW w:type="dxa" w:w="7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CC BY-SA 4.0. Attribution required: OpenCelliD, opencellid.org. Share-alike applies to any published derivative; flag before anything leaves internal use.</w:t>
            </w:r>
          </w:p>
        </w:tc>
      </w:tr>
      <w:tr>
        <w:tc>
          <w:tcPr>
            <w:tcW w:type="dxa" w:w="2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Manifest</w:t>
            </w:r>
          </w:p>
        </w:tc>
        <w:tc>
          <w:tcPr>
            <w:tcW w:type="dxa" w:w="7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covered_partial for every market with at least one cell record; not_covered otherwise.</w:t>
            </w:r>
          </w:p>
        </w:tc>
      </w:tr>
    </w:tbl>
    <w:p>
      <w:r>
        <w:br w:type="page"/>
      </w:r>
    </w:p>
    <w:p>
      <w:pPr>
        <w:pStyle w:val="Heading1"/>
      </w:pPr>
      <w:r>
        <w:t xml:space="preserve">6. Programming standards and repo layout</w:t>
      </w:r>
    </w:p>
    <w:p>
      <w:pPr>
        <w:spacing w:after="120"/>
      </w:pPr>
      <w:r>
        <w:rPr>
          <w:rFonts w:ascii="Arial" w:cs="Arial" w:eastAsia="Arial" w:hAnsi="Arial"/>
          <w:sz w:val="21"/>
          <w:szCs w:val="21"/>
        </w:rPr>
        <w:t xml:space="preserve">Target repo: github.com/matthewbucklebury/gsma. The layout below is a proposal; the Claude Code session should adapt to the existing structure rather than impose this, keeping the module boundaries.</w:t>
      </w:r>
    </w:p>
    <w:p>
      <w:pPr>
        <w:shd w:fill="F5F5F5" w:val="clear"/>
        <w:spacing w:after="60"/>
      </w:pPr>
      <w:r>
        <w:rPr>
          <w:rFonts w:ascii="Consolas" w:cs="Consolas" w:eastAsia="Consolas" w:hAnsi="Consolas"/>
          <w:sz w:val="18"/>
          <w:szCs w:val="18"/>
        </w:rPr>
        <w:t xml:space="preserve">ingest/</w:t>
      </w:r>
    </w:p>
    <w:p>
      <w:pPr>
        <w:shd w:fill="F5F5F5" w:val="clear"/>
        <w:spacing w:after="60"/>
      </w:pPr>
      <w:r>
        <w:rPr>
          <w:rFonts w:ascii="Consolas" w:cs="Consolas" w:eastAsia="Consolas" w:hAnsi="Consolas"/>
          <w:sz w:val="18"/>
          <w:szCs w:val="18"/>
        </w:rPr>
        <w:t xml:space="preserve">  common/          # adapter base class, CLI, validation report, manifest writer</w:t>
      </w:r>
    </w:p>
    <w:p>
      <w:pPr>
        <w:shd w:fill="F5F5F5" w:val="clear"/>
        <w:spacing w:after="60"/>
      </w:pPr>
      <w:r>
        <w:rPr>
          <w:rFonts w:ascii="Consolas" w:cs="Consolas" w:eastAsia="Consolas" w:hAnsi="Consolas"/>
          <w:sz w:val="18"/>
          <w:szCs w:val="18"/>
        </w:rPr>
        <w:t xml:space="preserve">  anfr/            # fetch.py, normalise.py, config.yaml, field_map.yaml</w:t>
      </w:r>
    </w:p>
    <w:p>
      <w:pPr>
        <w:shd w:fill="F5F5F5" w:val="clear"/>
        <w:spacing w:after="60"/>
      </w:pPr>
      <w:r>
        <w:rPr>
          <w:rFonts w:ascii="Consolas" w:cs="Consolas" w:eastAsia="Consolas" w:hAnsi="Consolas"/>
          <w:sz w:val="18"/>
          <w:szCs w:val="18"/>
        </w:rPr>
        <w:t xml:space="preserve">  fcc_asr/         # same shape</w:t>
      </w:r>
    </w:p>
    <w:p>
      <w:pPr>
        <w:shd w:fill="F5F5F5" w:val="clear"/>
        <w:spacing w:after="60"/>
      </w:pPr>
      <w:r>
        <w:rPr>
          <w:rFonts w:ascii="Consolas" w:cs="Consolas" w:eastAsia="Consolas" w:hAnsi="Consolas"/>
          <w:sz w:val="18"/>
          <w:szCs w:val="18"/>
        </w:rPr>
        <w:t xml:space="preserve">  opencellid/      # same shape, plus mcc_country.csv and mcc_mnc_operator.csv</w:t>
      </w:r>
    </w:p>
    <w:p>
      <w:pPr>
        <w:shd w:fill="F5F5F5" w:val="clear"/>
        <w:spacing w:after="60"/>
      </w:pPr>
      <w:r>
        <w:rPr>
          <w:rFonts w:ascii="Consolas" w:cs="Consolas" w:eastAsia="Consolas" w:hAnsi="Consolas"/>
          <w:sz w:val="18"/>
          <w:szCs w:val="18"/>
        </w:rPr>
        <w:t xml:space="preserve">data/</w:t>
      </w:r>
    </w:p>
    <w:p>
      <w:pPr>
        <w:shd w:fill="F5F5F5" w:val="clear"/>
        <w:spacing w:after="60"/>
      </w:pPr>
      <w:r>
        <w:rPr>
          <w:rFonts w:ascii="Consolas" w:cs="Consolas" w:eastAsia="Consolas" w:hAnsi="Consolas"/>
          <w:sz w:val="18"/>
          <w:szCs w:val="18"/>
        </w:rPr>
        <w:t xml:space="preserve">  raw/{source}/{snapshot_date}/</w:t>
      </w:r>
    </w:p>
    <w:p>
      <w:pPr>
        <w:shd w:fill="F5F5F5" w:val="clear"/>
        <w:spacing w:after="60"/>
      </w:pPr>
      <w:r>
        <w:rPr>
          <w:rFonts w:ascii="Consolas" w:cs="Consolas" w:eastAsia="Consolas" w:hAnsi="Consolas"/>
          <w:sz w:val="18"/>
          <w:szCs w:val="18"/>
        </w:rPr>
        <w:t xml:space="preserve">  normalised/{source}/{snapshot_date}/    # parquet</w:t>
      </w:r>
    </w:p>
    <w:p>
      <w:pPr>
        <w:shd w:fill="F5F5F5" w:val="clear"/>
        <w:spacing w:after="60"/>
      </w:pPr>
      <w:r>
        <w:rPr>
          <w:rFonts w:ascii="Consolas" w:cs="Consolas" w:eastAsia="Consolas" w:hAnsi="Consolas"/>
          <w:sz w:val="18"/>
          <w:szCs w:val="18"/>
        </w:rPr>
        <w:t xml:space="preserve">  quarantine/{source}/{snapshot_date}/    # unmappable rows plus reason</w:t>
      </w:r>
    </w:p>
    <w:p>
      <w:pPr>
        <w:shd w:fill="F5F5F5" w:val="clear"/>
        <w:spacing w:after="60"/>
      </w:pPr>
      <w:r>
        <w:rPr>
          <w:rFonts w:ascii="Consolas" w:cs="Consolas" w:eastAsia="Consolas" w:hAnsi="Consolas"/>
          <w:sz w:val="18"/>
          <w:szCs w:val="18"/>
        </w:rPr>
        <w:t xml:space="preserve">tests/             # per-adapter fixture files, small real extracts, no network in tests</w:t>
      </w:r>
    </w:p>
    <w:p>
      <w:pPr>
        <w:spacing w:after="120"/>
      </w:pPr>
      <w:r>
        <w:rPr>
          <w:rFonts w:ascii="Arial" w:cs="Arial" w:eastAsia="Arial" w:hAnsi="Arial"/>
          <w:sz w:val="21"/>
          <w:szCs w:val="21"/>
        </w:rPr>
        <w:t xml:space="preserve"/>
      </w:r>
    </w:p>
    <w:p>
      <w:pPr>
        <w:pStyle w:val="ListParagraph"/>
        <w:numPr>
          <w:ilvl w:val="0"/>
          <w:numId w:val="2"/>
        </w:numPr>
        <w:spacing w:after="80"/>
      </w:pPr>
      <w:r>
        <w:rPr>
          <w:rFonts w:ascii="Arial" w:cs="Arial" w:eastAsia="Arial" w:hAnsi="Arial"/>
          <w:sz w:val="21"/>
          <w:szCs w:val="21"/>
        </w:rPr>
        <w:t xml:space="preserve">Python 3.11 or later. Dependencies: requests, pandas, pyarrow, pyyaml. Nothing exotic; the adapters must run anywhere Claude Code runs.</w:t>
      </w:r>
    </w:p>
    <w:p>
      <w:pPr>
        <w:pStyle w:val="ListParagraph"/>
        <w:numPr>
          <w:ilvl w:val="0"/>
          <w:numId w:val="2"/>
        </w:numPr>
        <w:spacing w:after="80"/>
      </w:pPr>
      <w:r>
        <w:rPr>
          <w:rFonts w:ascii="Arial" w:cs="Arial" w:eastAsia="Arial" w:hAnsi="Arial"/>
          <w:sz w:val="21"/>
          <w:szCs w:val="21"/>
        </w:rPr>
        <w:t xml:space="preserve">Field mappings live in per-adapter YAML, not in code. Schema drift then becomes a config change with a diff, not a code hunt.</w:t>
      </w:r>
    </w:p>
    <w:p>
      <w:pPr>
        <w:pStyle w:val="ListParagraph"/>
        <w:numPr>
          <w:ilvl w:val="0"/>
          <w:numId w:val="2"/>
        </w:numPr>
        <w:spacing w:after="80"/>
      </w:pPr>
      <w:r>
        <w:rPr>
          <w:rFonts w:ascii="Arial" w:cs="Arial" w:eastAsia="Arial" w:hAnsi="Arial"/>
          <w:sz w:val="21"/>
          <w:szCs w:val="21"/>
        </w:rPr>
        <w:t xml:space="preserve">Every run writes a JSON run log: rows fetched, rows normalised, rows quarantined, deltas against the previous snapshot. Deltas above a configured threshold fail the run for manual review.</w:t>
      </w:r>
    </w:p>
    <w:p>
      <w:pPr>
        <w:pStyle w:val="ListParagraph"/>
        <w:numPr>
          <w:ilvl w:val="0"/>
          <w:numId w:val="2"/>
        </w:numPr>
        <w:spacing w:after="80"/>
      </w:pPr>
      <w:r>
        <w:rPr>
          <w:rFonts w:ascii="Arial" w:cs="Arial" w:eastAsia="Arial" w:hAnsi="Arial"/>
          <w:sz w:val="21"/>
          <w:szCs w:val="21"/>
        </w:rPr>
        <w:t xml:space="preserve">Tests use committed fixture extracts (a few hundred rows per source). No test touches the network.</w:t>
      </w:r>
    </w:p>
    <w:p>
      <w:pPr>
        <w:pStyle w:val="ListParagraph"/>
        <w:numPr>
          <w:ilvl w:val="0"/>
          <w:numId w:val="2"/>
        </w:numPr>
        <w:spacing w:after="80"/>
      </w:pPr>
      <w:r>
        <w:rPr>
          <w:rFonts w:ascii="Arial" w:cs="Arial" w:eastAsia="Arial" w:hAnsi="Arial"/>
          <w:sz w:val="21"/>
          <w:szCs w:val="21"/>
        </w:rPr>
        <w:t xml:space="preserve">Plain-language docstrings and README per adapter, written for a reader who has never seen the source.</w:t>
      </w:r>
    </w:p>
    <w:p>
      <w:pPr>
        <w:pStyle w:val="Heading1"/>
      </w:pPr>
      <w:r>
        <w:t xml:space="preserve">7. Acceptance criteria</w:t>
      </w:r>
    </w:p>
    <w:p>
      <w:pPr>
        <w:pStyle w:val="ListParagraph"/>
        <w:numPr>
          <w:ilvl w:val="0"/>
          <w:numId w:val="2"/>
        </w:numPr>
        <w:spacing w:after="80"/>
      </w:pPr>
      <w:r>
        <w:rPr>
          <w:rFonts w:ascii="Arial" w:cs="Arial" w:eastAsia="Arial" w:hAnsi="Arial"/>
          <w:sz w:val="21"/>
          <w:szCs w:val="21"/>
        </w:rPr>
        <w:t xml:space="preserve">A single command runs each adapter end to end for a given snapshot date and is safely re-runnable.</w:t>
      </w:r>
    </w:p>
    <w:p>
      <w:pPr>
        <w:pStyle w:val="ListParagraph"/>
        <w:numPr>
          <w:ilvl w:val="0"/>
          <w:numId w:val="2"/>
        </w:numPr>
        <w:spacing w:after="80"/>
      </w:pPr>
      <w:r>
        <w:rPr>
          <w:rFonts w:ascii="Arial" w:cs="Arial" w:eastAsia="Arial" w:hAnsi="Arial"/>
          <w:sz w:val="21"/>
          <w:szCs w:val="21"/>
        </w:rPr>
        <w:t xml:space="preserve">structures contains France (ANFR) and US (FCC ASR) rows conforming to the schema, with owner populated for ASR and operators populated for ANFR.</w:t>
      </w:r>
    </w:p>
    <w:p>
      <w:pPr>
        <w:pStyle w:val="ListParagraph"/>
        <w:numPr>
          <w:ilvl w:val="0"/>
          <w:numId w:val="2"/>
        </w:numPr>
        <w:spacing w:after="80"/>
      </w:pPr>
      <w:r>
        <w:rPr>
          <w:rFonts w:ascii="Arial" w:cs="Arial" w:eastAsia="Arial" w:hAnsi="Arial"/>
          <w:sz w:val="21"/>
          <w:szCs w:val="21"/>
        </w:rPr>
        <w:t xml:space="preserve">market_cell_stats contains rows for every market present in the OpenCelliD export, and no output table anywhere contains OpenCelliD coordinates.</w:t>
      </w:r>
    </w:p>
    <w:p>
      <w:pPr>
        <w:pStyle w:val="ListParagraph"/>
        <w:numPr>
          <w:ilvl w:val="0"/>
          <w:numId w:val="2"/>
        </w:numPr>
        <w:spacing w:after="80"/>
      </w:pPr>
      <w:r>
        <w:rPr>
          <w:rFonts w:ascii="Arial" w:cs="Arial" w:eastAsia="Arial" w:hAnsi="Arial"/>
          <w:sz w:val="21"/>
          <w:szCs w:val="21"/>
        </w:rPr>
        <w:t xml:space="preserve">source_manifest enumerates all three sources against all ISO markets, and a query for, say, Germany returns not_covered for ANFR and FCC ASR rather than an empty silence.</w:t>
      </w:r>
    </w:p>
    <w:p>
      <w:pPr>
        <w:pStyle w:val="ListParagraph"/>
        <w:numPr>
          <w:ilvl w:val="0"/>
          <w:numId w:val="2"/>
        </w:numPr>
        <w:spacing w:after="80"/>
      </w:pPr>
      <w:r>
        <w:rPr>
          <w:rFonts w:ascii="Arial" w:cs="Arial" w:eastAsia="Arial" w:hAnsi="Arial"/>
          <w:sz w:val="21"/>
          <w:szCs w:val="21"/>
        </w:rPr>
        <w:t xml:space="preserve">The Explorer renders the three layers side by side, source-tagged, with the ASR partial-coverage caveat and the OpenCelliD crowdsourced caveat visible in the UI.</w:t>
      </w:r>
    </w:p>
    <w:p>
      <w:pPr>
        <w:pStyle w:val="ListParagraph"/>
        <w:numPr>
          <w:ilvl w:val="0"/>
          <w:numId w:val="2"/>
        </w:numPr>
        <w:spacing w:after="80"/>
      </w:pPr>
      <w:r>
        <w:rPr>
          <w:rFonts w:ascii="Arial" w:cs="Arial" w:eastAsia="Arial" w:hAnsi="Arial"/>
          <w:sz w:val="21"/>
          <w:szCs w:val="21"/>
        </w:rPr>
        <w:t xml:space="preserve">Validation catches a deliberately corrupted fixture (missing column, absurd row-count delta) and fails cleanly with a readable report.</w:t>
      </w:r>
    </w:p>
    <w:p>
      <w:pPr>
        <w:pStyle w:val="Heading1"/>
      </w:pPr>
      <w:r>
        <w:t xml:space="preserve">8. Suggested Claude Code session sequence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5600"/>
        <w:gridCol w:w="2900"/>
      </w:tblGrid>
      <w:tr>
        <w:trPr>
          <w:tblHeader/>
        </w:trPr>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Session</w:t>
            </w:r>
          </w:p>
        </w:tc>
        <w:tc>
          <w:tcPr>
            <w:tcW w:type="dxa" w:w="5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Focus</w:t>
            </w:r>
          </w:p>
        </w:tc>
        <w:tc>
          <w:tcPr>
            <w:tcW w:type="dxa" w:w="2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Done when</w:t>
            </w:r>
          </w:p>
        </w:tc>
      </w:tr>
      <w:tr>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1</w:t>
            </w:r>
          </w:p>
        </w:tc>
        <w:tc>
          <w:tcPr>
            <w:tcW w:type="dxa" w:w="5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Common layer: base adapter class, CLI, manifest writer, run log, test harness</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A stub adapter passes the harness</w:t>
            </w:r>
          </w:p>
        </w:tc>
      </w:tr>
      <w:tr>
        <w:tc>
          <w:tcPr>
            <w:tcW w:type="dxa" w:w="11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2</w:t>
            </w:r>
          </w:p>
        </w:tc>
        <w:tc>
          <w:tcPr>
            <w:tcW w:type="dxa" w:w="5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ANFR adapter, including the empty-manifest generation for non-FR markets</w:t>
            </w:r>
          </w:p>
        </w:tc>
        <w:tc>
          <w:tcPr>
            <w:tcW w:type="dxa" w:w="2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France structures load; Germany query returns not_covered</w:t>
            </w:r>
          </w:p>
        </w:tc>
      </w:tr>
      <w:tr>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3</w:t>
            </w:r>
          </w:p>
        </w:tc>
        <w:tc>
          <w:tcPr>
            <w:tcW w:type="dxa" w:w="5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FCC ASR adapter: bulk file parse, DMS conversion, entity join, partial-coverage flag</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US structures load with registrant owners</w:t>
            </w:r>
          </w:p>
        </w:tc>
      </w:tr>
      <w:tr>
        <w:tc>
          <w:tcPr>
            <w:tcW w:type="dxa" w:w="11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4</w:t>
            </w:r>
          </w:p>
        </w:tc>
        <w:tc>
          <w:tcPr>
            <w:tcW w:type="dxa" w:w="5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OpenCelliD adapter: bulk aggregate, lookup joins, coordinate-drop guarantee, licence attribution</w:t>
            </w:r>
          </w:p>
        </w:tc>
        <w:tc>
          <w:tcPr>
            <w:tcW w:type="dxa" w:w="2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tcPr>
          <w:p>
            <w:r>
              <w:rPr>
                <w:rFonts w:ascii="Arial" w:cs="Arial" w:eastAsia="Arial" w:hAnsi="Arial"/>
                <w:b w:val="false"/>
                <w:bCs w:val="false"/>
                <w:color w:val="000000"/>
                <w:sz w:val="19"/>
                <w:szCs w:val="19"/>
              </w:rPr>
              <w:t xml:space="preserve">Market stats load; test proves no coordinates in output</w:t>
            </w:r>
          </w:p>
        </w:tc>
      </w:tr>
      <w:tr>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5</w:t>
            </w:r>
          </w:p>
        </w:tc>
        <w:tc>
          <w:tcPr>
            <w:tcW w:type="dxa" w:w="5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Explorer debugging: multi-source layer handling, caveat display, not_covered rendering</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Arial" w:cs="Arial" w:eastAsia="Arial" w:hAnsi="Arial"/>
                <w:b w:val="false"/>
                <w:bCs w:val="false"/>
                <w:color w:val="000000"/>
                <w:sz w:val="19"/>
                <w:szCs w:val="19"/>
              </w:rPr>
              <w:t xml:space="preserve">Acceptance criteria in section 7 all pass</w:t>
            </w:r>
          </w:p>
        </w:tc>
      </w:tr>
    </w:tbl>
    <w:p>
      <w:pPr>
        <w:spacing w:after="120"/>
      </w:pPr>
      <w:r>
        <w:rPr>
          <w:rFonts w:ascii="Arial" w:cs="Arial" w:eastAsia="Arial" w:hAnsi="Arial"/>
          <w:sz w:val="21"/>
          <w:szCs w:val="21"/>
        </w:rPr>
        <w:t xml:space="preserve"/>
      </w:r>
    </w:p>
    <w:p>
      <w:pPr>
        <w:spacing w:after="120"/>
      </w:pPr>
      <w:r>
        <w:rPr>
          <w:rFonts w:ascii="Arial" w:cs="Arial" w:eastAsia="Arial" w:hAnsi="Arial"/>
          <w:i/>
          <w:iCs/>
          <w:color w:val="595959"/>
          <w:sz w:val="19"/>
          <w:szCs w:val="19"/>
        </w:rPr>
        <w:t xml:space="preserve">Items marked 'confirm at build time' in section 5 (exact ANFR dataset slugs and bulk file names, FCC .dat file names and height units) should be verified against the live portals in session 2 and 3 respectively and pinned in the adapter configs. This brief deliberately avoids hardcoding details that the portals may have changed.</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5E9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2026-07-04T16:08:02.296Z</dcterms:created>
  <dcterms:modified xsi:type="dcterms:W3CDTF">2026-07-04T16:08:02.297Z</dcterms:modified>
</cp:coreProperties>
</file>

<file path=docProps/custom.xml><?xml version="1.0" encoding="utf-8"?>
<Properties xmlns="http://schemas.openxmlformats.org/officeDocument/2006/custom-properties" xmlns:vt="http://schemas.openxmlformats.org/officeDocument/2006/docPropsVTypes"/>
</file>