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mbria" w:cs="Cambria" w:eastAsia="Cambria" w:hAnsi="Cambria"/>
          <w:b/>
          <w:bCs/>
          <w:color w:val="21295C"/>
          <w:sz w:val="64"/>
          <w:szCs w:val="64"/>
        </w:rPr>
        <w:t xml:space="preserve">The LOU Growth Program</w:t>
      </w:r>
    </w:p>
    <w:p>
      <w:pPr>
        <w:spacing w:after="120"/>
        <w:jc w:val="center"/>
      </w:pPr>
      <w:r>
        <w:rPr>
          <w:rFonts w:ascii="Calibri" w:cs="Calibri" w:eastAsia="Calibri" w:hAnsi="Calibri"/>
          <w:color w:val="1C7293"/>
          <w:sz w:val="30"/>
          <w:szCs w:val="30"/>
        </w:rPr>
        <w:t xml:space="preserve">Data-Driven Marketing for Pool, Spa &amp; Hot Tub Dealers</w:t>
      </w:r>
    </w:p>
    <w:p>
      <w:pPr>
        <w:spacing w:after="1600"/>
        <w:jc w:val="center"/>
      </w:pPr>
      <w:r>
        <w:rPr>
          <w:rFonts w:ascii="Calibri" w:cs="Calibri" w:eastAsia="Calibri" w:hAnsi="Calibri"/>
          <w:color w:val="5A6B76"/>
          <w:sz w:val="24"/>
          <w:szCs w:val="24"/>
        </w:rPr>
        <w:t xml:space="preserve">A Partnership Program — Evosus × Small Screen Producer</w:t>
      </w:r>
    </w:p>
    <w:p>
      <w:pPr>
        <w:spacing w:after="80"/>
        <w:jc w:val="center"/>
      </w:pPr>
      <w:r>
        <w:rPr>
          <w:rFonts w:ascii="Calibri" w:cs="Calibri" w:eastAsia="Calibri" w:hAnsi="Calibri"/>
          <w:b/>
          <w:bCs/>
          <w:color w:val="222222"/>
          <w:sz w:val="24"/>
          <w:szCs w:val="24"/>
        </w:rPr>
        <w:t xml:space="preserve">Complete Marketing Plan &amp; Campaign Design Book — Version 2</w:t>
      </w:r>
    </w:p>
    <w:p>
      <w:pPr>
        <w:spacing w:after="60"/>
        <w:jc w:val="center"/>
      </w:pPr>
      <w:r>
        <w:rPr>
          <w:rFonts w:ascii="Calibri" w:cs="Calibri" w:eastAsia="Calibri" w:hAnsi="Calibri"/>
          <w:i/>
          <w:iCs/>
          <w:color w:val="5A6B76"/>
          <w:sz w:val="19"/>
          <w:szCs w:val="19"/>
        </w:rPr>
        <w:t xml:space="preserve">Incorporates: Engineering Spec v3 · Dealer Lifecycle Engine strategy · Phase 2 Build Pack · full LOU API audit</w:t>
      </w:r>
    </w:p>
    <w:p>
      <w:pPr>
        <w:jc w:val="center"/>
      </w:pPr>
      <w:r>
        <w:rPr>
          <w:rFonts w:ascii="Calibri" w:cs="Calibri" w:eastAsia="Calibri" w:hAnsi="Calibri"/>
          <w:color w:val="5A6B76"/>
          <w:sz w:val="20"/>
          <w:szCs w:val="20"/>
        </w:rPr>
        <w:t xml:space="preserve">August 21, 2026  •  Internal working draft — Confidential</w:t>
      </w:r>
    </w:p>
    <w:p>
      <w:r>
        <w:br w:type="page"/>
      </w:r>
    </w:p>
    <w:p>
      <w:pPr>
        <w:pStyle w:val="Heading1"/>
        <w:spacing w:after="160" w:before="320"/>
      </w:pPr>
      <w:r>
        <w:rPr>
          <w:rFonts w:ascii="Cambria" w:cs="Cambria" w:eastAsia="Cambria" w:hAnsi="Cambria"/>
          <w:b/>
          <w:bCs/>
          <w:color w:val="21295C"/>
          <w:sz w:val="32"/>
          <w:szCs w:val="32"/>
        </w:rPr>
        <w:t xml:space="preserve">1. Executive Summary</w:t>
      </w:r>
    </w:p>
    <w:p>
      <w:pPr>
        <w:spacing w:after="120"/>
      </w:pPr>
      <w:r>
        <w:rPr>
          <w:rFonts w:ascii="Calibri" w:cs="Calibri" w:eastAsia="Calibri" w:hAnsi="Calibri"/>
          <w:color w:val="222222"/>
          <w:sz w:val="22"/>
          <w:szCs w:val="22"/>
        </w:rPr>
        <w:t xml:space="preserve">Every completed order in LOU is a marketing moment that today goes unused. The LOU Growth Program connects each dealer’s LOU transaction data to SSP’s marketing engine (GoHighLevel, white-labeled as MyLeadHub) so those moments become automatic revenue — with every campaign measured against real orders recorded back in LOU.</w:t>
      </w:r>
    </w:p>
    <w:p>
      <w:pPr>
        <w:spacing w:after="120"/>
      </w:pPr>
      <w:r>
        <w:rPr>
          <w:rFonts w:ascii="Calibri" w:cs="Calibri" w:eastAsia="Calibri" w:hAnsi="Calibri"/>
          <w:color w:val="222222"/>
          <w:sz w:val="22"/>
          <w:szCs w:val="22"/>
        </w:rPr>
        <w:t xml:space="preserve">This is Version 2 of the plan, and it changes the story in one important way: much of the machine already exists. The GoHighLevel write path was verified live on June 11. The connector architecture, contact schema, and attribution design are specified in Engineering Spec v3. Three pilot workflows were specced in June for the AAA Pools pilot. And a full audit of the LOU API documentation (Appendix A) confirms order dollar amounts, customer balances, portal URLs, and schedule data are all retrievable today — while also confirming exactly what is not (estimates, webhooks, a customer list), which becomes our engineering ask of Evosus.</w:t>
      </w:r>
    </w:p>
    <w:p>
      <w:pPr>
        <w:spacing w:after="120"/>
      </w:pPr>
      <w:r>
        <w:rPr>
          <w:rFonts w:ascii="Calibri" w:cs="Calibri" w:eastAsia="Calibri" w:hAnsi="Calibri"/>
          <w:color w:val="222222"/>
          <w:sz w:val="22"/>
          <w:szCs w:val="22"/>
        </w:rPr>
        <w:t xml:space="preserve">Version 2 adds what was missing: full designs for twelve campaigns (flows, message-by-message design, creative direction, entry/exit rules, KPIs), the orchestration rules that keep them from colliding, a step-by-step build plan from today to a scaled network, a dealer onboarding runbook, and — most importantly — the engagement playbook that locks in dealer relationships and converts this integration into SSP’s full-stack growth channel.</w:t>
      </w:r>
    </w:p>
    <w:p>
      <w:pPr>
        <w:spacing w:after="120"/>
      </w:pPr>
      <w:r>
        <w:rPr>
          <w:rFonts w:ascii="Calibri" w:cs="Calibri" w:eastAsia="Calibri" w:hAnsi="Calibri"/>
          <w:color w:val="222222"/>
          <w:sz w:val="22"/>
          <w:szCs w:val="22"/>
        </w:rPr>
        <w:t xml:space="preserve">Ten of twelve campaigns run on data available at launch. Two are deliberately gated on data Evosus hasn’t shipped yet — which turns our campaign roadmap into their API roadmap, exactly the partnership dynamic Dan proposed.</w:t>
      </w:r>
    </w:p>
    <w:p>
      <w:pPr>
        <w:pStyle w:val="Heading1"/>
        <w:spacing w:after="160" w:before="320"/>
      </w:pPr>
      <w:r>
        <w:rPr>
          <w:rFonts w:ascii="Cambria" w:cs="Cambria" w:eastAsia="Cambria" w:hAnsi="Cambria"/>
          <w:b/>
          <w:bCs/>
          <w:color w:val="21295C"/>
          <w:sz w:val="32"/>
          <w:szCs w:val="32"/>
        </w:rPr>
        <w:t xml:space="preserve">2. Where Things Stand (August 21, 2026)</w:t>
      </w:r>
    </w:p>
    <w:p>
      <w:pPr>
        <w:spacing w:after="120"/>
      </w:pPr>
      <w:r>
        <w:rPr>
          <w:rFonts w:ascii="Calibri" w:cs="Calibri" w:eastAsia="Calibri" w:hAnsi="Calibri"/>
          <w:color w:val="222222"/>
          <w:sz w:val="22"/>
          <w:szCs w:val="22"/>
        </w:rPr>
        <w:t xml:space="preserve">A single status ledger for the whole effort — what is verified, what is in motion, and who owes whom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Workstream</w:t>
            </w:r>
          </w:p>
        </w:tc>
        <w:tc>
          <w:tcPr>
            <w:tcW w:type="dxa" w:w="24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Status</w:t>
            </w:r>
          </w:p>
        </w:tc>
        <w:tc>
          <w:tcPr>
            <w:tcW w:type="dxa" w:w="35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Notes</w:t>
            </w:r>
          </w:p>
        </w:tc>
      </w:tr>
      <w:tr>
        <w:tc>
          <w:tcPr>
            <w:tcW w:type="dxa" w:w="3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GHL write path (contacts, purchase object, associations)</w:t>
            </w:r>
          </w:p>
        </w:tc>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VERIFIED LIVE 6/11</w:t>
            </w:r>
          </w:p>
        </w:tc>
        <w:tc>
          <w:tcPr>
            <w:tcW w:type="dxa" w:w="3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Object + association IDs cached; Engineering Spec v3 Appendix</w:t>
            </w:r>
          </w:p>
        </w:tc>
      </w:tr>
      <w:tr>
        <w:tc>
          <w:tcPr>
            <w:tcW w:type="dxa" w:w="3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LOU acceptance API key</w:t>
            </w:r>
          </w:p>
        </w:tc>
        <w:tc>
          <w:tcPr>
            <w:tcW w:type="dxa" w:w="2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IN HAND (6/12)</w:t>
            </w:r>
          </w:p>
        </w:tc>
        <w:tc>
          <w:tcPr>
            <w:tcW w:type="dxa" w:w="3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lou-accp.evosus.com; rotate before production; key was emailed in plaintext</w:t>
            </w:r>
          </w:p>
        </w:tc>
      </w:tr>
      <w:tr>
        <w:tc>
          <w:tcPr>
            <w:tcW w:type="dxa" w:w="3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LOU API documentation audit</w:t>
            </w:r>
          </w:p>
        </w:tc>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DONE (this doc)</w:t>
            </w:r>
          </w:p>
        </w:tc>
        <w:tc>
          <w:tcPr>
            <w:tcW w:type="dxa" w:w="3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Dollars, balance, portal URL, schedule tasks confirmed; estimates &amp; webhooks absent</w:t>
            </w:r>
          </w:p>
        </w:tc>
      </w:tr>
      <w:tr>
        <w:tc>
          <w:tcPr>
            <w:tcW w:type="dxa" w:w="3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Orders-by-date interim API (Evosus)</w:t>
            </w:r>
          </w:p>
        </w:tc>
        <w:tc>
          <w:tcPr>
            <w:tcW w:type="dxa" w:w="2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LATE AUGUST (John, 8/12)</w:t>
            </w:r>
          </w:p>
        </w:tc>
        <w:tc>
          <w:tcPr>
            <w:tcW w:type="dxa" w:w="3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Returns Order ID, Customer ID, Type, Status per day — fills the dealer-wide feed gap</w:t>
            </w:r>
          </w:p>
        </w:tc>
      </w:tr>
      <w:tr>
        <w:tc>
          <w:tcPr>
            <w:tcW w:type="dxa" w:w="3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Reply to John confirming the interim API</w:t>
            </w:r>
          </w:p>
        </w:tc>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OWED BY SSP — the stated blocker</w:t>
            </w:r>
          </w:p>
        </w:tc>
        <w:tc>
          <w:tcPr>
            <w:tcW w:type="dxa" w:w="3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Dan’s 8/19 nudge; talking points drafted</w:t>
            </w:r>
          </w:p>
        </w:tc>
      </w:tr>
      <w:tr>
        <w:tc>
          <w:tcPr>
            <w:tcW w:type="dxa" w:w="3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Outbound webhook spec (Eric, 7/1)</w:t>
            </w:r>
          </w:p>
        </w:tc>
        <w:tc>
          <w:tcPr>
            <w:tcW w:type="dxa" w:w="2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 FILE (Appendix C)</w:t>
            </w:r>
          </w:p>
        </w:tc>
        <w:tc>
          <w:tcPr>
            <w:tcW w:type="dxa" w:w="3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Superseded near-term by polling; becomes the push-phase spec</w:t>
            </w:r>
          </w:p>
        </w:tc>
      </w:tr>
      <w:tr>
        <w:tc>
          <w:tcPr>
            <w:tcW w:type="dxa" w:w="3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Partnership design conversation (Pam × Dan)</w:t>
            </w:r>
          </w:p>
        </w:tc>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OPEN</w:t>
            </w:r>
          </w:p>
        </w:tc>
        <w:tc>
          <w:tcPr>
            <w:tcW w:type="dxa" w:w="3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Dan’s 7/16 framework; campaign menu = sections 9–10 of this doc</w:t>
            </w:r>
          </w:p>
        </w:tc>
      </w:tr>
      <w:tr>
        <w:tc>
          <w:tcPr>
            <w:tcW w:type="dxa" w:w="3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Pilot dealer candidate</w:t>
            </w:r>
          </w:p>
        </w:tc>
        <w:tc>
          <w:tcPr>
            <w:tcW w:type="dxa" w:w="2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AAA Pools</w:t>
            </w:r>
          </w:p>
        </w:tc>
        <w:tc>
          <w:tcPr>
            <w:tcW w:type="dxa" w:w="3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Phase 2 Build Pack workflows specced in June</w:t>
            </w:r>
          </w:p>
        </w:tc>
      </w:tr>
      <w:tr>
        <w:tc>
          <w:tcPr>
            <w:tcW w:type="dxa" w:w="3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Campaign designs × 12</w:t>
            </w:r>
          </w:p>
        </w:tc>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THIS DOCUMENT</w:t>
            </w:r>
          </w:p>
        </w:tc>
        <w:tc>
          <w:tcPr>
            <w:tcW w:type="dxa" w:w="3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Sections 9–10</w:t>
            </w:r>
          </w:p>
        </w:tc>
      </w:tr>
    </w:tbl>
    <w:p>
      <w:pPr>
        <w:pStyle w:val="Heading1"/>
        <w:spacing w:after="160" w:before="320"/>
      </w:pPr>
      <w:r>
        <w:rPr>
          <w:rFonts w:ascii="Cambria" w:cs="Cambria" w:eastAsia="Cambria" w:hAnsi="Cambria"/>
          <w:b/>
          <w:bCs/>
          <w:color w:val="21295C"/>
          <w:sz w:val="32"/>
          <w:szCs w:val="32"/>
        </w:rPr>
        <w:t xml:space="preserve">3. The Dealer We Serve</w:t>
      </w:r>
    </w:p>
    <w:p>
      <w:pPr>
        <w:spacing w:after="120"/>
      </w:pPr>
      <w:r>
        <w:rPr>
          <w:rFonts w:ascii="Calibri" w:cs="Calibri" w:eastAsia="Calibri" w:hAnsi="Calibri"/>
          <w:color w:val="222222"/>
          <w:sz w:val="22"/>
          <w:szCs w:val="22"/>
        </w:rPr>
        <w:t xml:space="preserve">LOU serves 600+ pool, spa, hot tub, hearth, and billiard businesses. Our target dealer is a vertically integrated specialty operation blending three businesses: retail (chemicals, equipment, hot tubs, showroom, ecommerce), service (routes, repairs, openings/closings, water testing), and construction/install (builds, replacements, renovations).</w:t>
      </w:r>
    </w:p>
    <w:p>
      <w:pPr>
        <w:pStyle w:val="Heading2"/>
        <w:spacing w:after="120" w:before="240"/>
      </w:pPr>
      <w:r>
        <w:rPr>
          <w:rFonts w:ascii="Cambria" w:cs="Cambria" w:eastAsia="Cambria" w:hAnsi="Cambria"/>
          <w:b/>
          <w:bCs/>
          <w:color w:val="065A82"/>
          <w:sz w:val="26"/>
          <w:szCs w:val="26"/>
        </w:rPr>
        <w:t xml:space="preserve">3.1 Revenue physics</w:t>
      </w:r>
    </w:p>
    <w:p>
      <w:pPr>
        <w:spacing w:after="120"/>
      </w:pPr>
      <w:r>
        <w:rPr>
          <w:rFonts w:ascii="Calibri" w:cs="Calibri" w:eastAsia="Calibri" w:hAnsi="Calibri"/>
          <w:color w:val="222222"/>
          <w:sz w:val="22"/>
          <w:szCs w:val="22"/>
        </w:rPr>
        <w:t xml:space="preserve">Almost every campaign in this plan maps to one of three revenue rows with very different cadences: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100"/>
        <w:gridCol w:w="2560"/>
      </w:tblGrid>
      <w:tr>
        <w:trPr>
          <w:tblHeader/>
        </w:trPr>
        <w:tc>
          <w:tcPr>
            <w:tcW w:type="dxa" w:w="21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Revenue row</w:t>
            </w:r>
          </w:p>
        </w:tc>
        <w:tc>
          <w:tcPr>
            <w:tcW w:type="dxa" w:w="26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Examples</w:t>
            </w:r>
          </w:p>
        </w:tc>
        <w:tc>
          <w:tcPr>
            <w:tcW w:type="dxa" w:w="21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Cadence</w:t>
            </w:r>
          </w:p>
        </w:tc>
        <w:tc>
          <w:tcPr>
            <w:tcW w:type="dxa" w:w="25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The marketing job</w:t>
            </w:r>
          </w:p>
        </w:tc>
      </w:tr>
      <w:tr>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Recurring consumables</w:t>
            </w:r>
          </w:p>
        </w:tc>
        <w:tc>
          <w:tcPr>
            <w:tcW w:type="dxa" w:w="26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chemicals, shock, salt, filters, parts</w:t>
            </w:r>
          </w:p>
        </w:tc>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weeks–months, predictable</w:t>
            </w:r>
          </w:p>
        </w:tc>
        <w:tc>
          <w:tcPr>
            <w:tcW w:type="dxa" w:w="2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reorder at the right moment (C5)</w:t>
            </w:r>
          </w:p>
        </w:tc>
      </w:tr>
      <w:tr>
        <w:tc>
          <w:tcPr>
            <w:tcW w:type="dxa" w:w="2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Recurring service</w:t>
            </w:r>
          </w:p>
        </w:tc>
        <w:tc>
          <w:tcPr>
            <w:tcW w:type="dxa" w:w="26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routes, testing, contracts</w:t>
            </w:r>
          </w:p>
        </w:tc>
        <w:tc>
          <w:tcPr>
            <w:tcW w:type="dxa" w:w="2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weekly / seasonal / annual</w:t>
            </w:r>
          </w:p>
        </w:tc>
        <w:tc>
          <w:tcPr>
            <w:tcW w:type="dxa" w:w="2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retain, renew, deepen (C4, C7)</w:t>
            </w:r>
          </w:p>
        </w:tc>
      </w:tr>
      <w:tr>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Big-ticket episodic</w:t>
            </w:r>
          </w:p>
        </w:tc>
        <w:tc>
          <w:tcPr>
            <w:tcW w:type="dxa" w:w="26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pool, hot tub, sauna, heater</w:t>
            </w:r>
          </w:p>
        </w:tc>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years apart, long consideration</w:t>
            </w:r>
          </w:p>
        </w:tc>
        <w:tc>
          <w:tcPr>
            <w:tcW w:type="dxa" w:w="2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nurture, then attach (C2, C8, C11, C12)</w:t>
            </w:r>
          </w:p>
        </w:tc>
      </w:tr>
    </w:tbl>
    <w:p>
      <w:pPr>
        <w:spacing w:after="160"/>
      </w:pPr>
    </w:p>
    <w:p>
      <w:pPr>
        <w:spacing w:after="120"/>
      </w:pPr>
      <w:r>
        <w:rPr>
          <w:rFonts w:ascii="Calibri" w:cs="Calibri" w:eastAsia="Calibri" w:hAnsi="Calibri"/>
          <w:color w:val="222222"/>
          <w:sz w:val="22"/>
          <w:szCs w:val="22"/>
        </w:rPr>
        <w:t xml:space="preserve">Growth means moving customers up and across the rows: a big-ticket buyer becomes a consumable buyer becomes a service customer. That is the lifecycle the twelve campaigns implement.</w:t>
      </w:r>
    </w:p>
    <w:p>
      <w:pPr>
        <w:pStyle w:val="Heading2"/>
        <w:spacing w:after="120" w:before="240"/>
      </w:pPr>
      <w:r>
        <w:rPr>
          <w:rFonts w:ascii="Cambria" w:cs="Cambria" w:eastAsia="Cambria" w:hAnsi="Cambria"/>
          <w:b/>
          <w:bCs/>
          <w:color w:val="065A82"/>
          <w:sz w:val="26"/>
          <w:szCs w:val="26"/>
        </w:rPr>
        <w:t xml:space="preserve">3.2 Seasonality — the curve we are paid to smooth</w:t>
      </w:r>
    </w:p>
    <w:p>
      <w:pPr>
        <w:pStyle w:val="ListParagraph"/>
        <w:numPr>
          <w:ilvl w:val="0"/>
          <w:numId w:val="2"/>
        </w:numPr>
        <w:spacing w:after="80"/>
      </w:pPr>
      <w:r>
        <w:rPr>
          <w:rFonts w:ascii="Calibri" w:cs="Calibri" w:eastAsia="Calibri" w:hAnsi="Calibri"/>
          <w:b/>
          <w:bCs/>
          <w:color w:val="222222"/>
          <w:sz w:val="22"/>
          <w:szCs w:val="22"/>
        </w:rPr>
        <w:t xml:space="preserve">Warm season (Apr–Nov): </w:t>
      </w:r>
      <w:r>
        <w:rPr>
          <w:rFonts w:ascii="Calibri" w:cs="Calibri" w:eastAsia="Calibri" w:hAnsi="Calibri"/>
          <w:color w:val="222222"/>
          <w:sz w:val="22"/>
          <w:szCs w:val="22"/>
        </w:rPr>
        <w:t xml:space="preserve">pool revenue runs hot — openings, chemicals at peak consumption, route fill, builds.</w:t>
      </w:r>
    </w:p>
    <w:p>
      <w:pPr>
        <w:pStyle w:val="ListParagraph"/>
        <w:numPr>
          <w:ilvl w:val="0"/>
          <w:numId w:val="2"/>
        </w:numPr>
        <w:spacing w:after="80"/>
      </w:pPr>
      <w:r>
        <w:rPr>
          <w:rFonts w:ascii="Calibri" w:cs="Calibri" w:eastAsia="Calibri" w:hAnsi="Calibri"/>
          <w:b/>
          <w:bCs/>
          <w:color w:val="222222"/>
          <w:sz w:val="22"/>
          <w:szCs w:val="22"/>
        </w:rPr>
        <w:t xml:space="preserve">Shoulder (fall): </w:t>
      </w:r>
      <w:r>
        <w:rPr>
          <w:rFonts w:ascii="Calibri" w:cs="Calibri" w:eastAsia="Calibri" w:hAnsi="Calibri"/>
          <w:color w:val="222222"/>
          <w:sz w:val="22"/>
          <w:szCs w:val="22"/>
        </w:rPr>
        <w:t xml:space="preserve">closings and winterizing, plus the pivot to selling hot water.</w:t>
      </w:r>
    </w:p>
    <w:p>
      <w:pPr>
        <w:pStyle w:val="ListParagraph"/>
        <w:numPr>
          <w:ilvl w:val="0"/>
          <w:numId w:val="2"/>
        </w:numPr>
        <w:spacing w:after="80"/>
      </w:pPr>
      <w:r>
        <w:rPr>
          <w:rFonts w:ascii="Calibri" w:cs="Calibri" w:eastAsia="Calibri" w:hAnsi="Calibri"/>
          <w:b/>
          <w:bCs/>
          <w:color w:val="222222"/>
          <w:sz w:val="22"/>
          <w:szCs w:val="22"/>
        </w:rPr>
        <w:t xml:space="preserve">Off season (winter): </w:t>
      </w:r>
      <w:r>
        <w:rPr>
          <w:rFonts w:ascii="Calibri" w:cs="Calibri" w:eastAsia="Calibri" w:hAnsi="Calibri"/>
          <w:color w:val="222222"/>
          <w:sz w:val="22"/>
          <w:szCs w:val="22"/>
        </w:rPr>
        <w:t xml:space="preserve">hot tubs, saunas, and cold plunges sold to the existing pool list; wellness gifting; pre-booked spring openings; contract renewals. This attacks the dealer’s winter cash gap directly.</w:t>
      </w:r>
    </w:p>
    <w:p>
      <w:pPr>
        <w:pStyle w:val="Heading2"/>
        <w:spacing w:after="120" w:before="240"/>
      </w:pPr>
      <w:r>
        <w:rPr>
          <w:rFonts w:ascii="Cambria" w:cs="Cambria" w:eastAsia="Cambria" w:hAnsi="Cambria"/>
          <w:b/>
          <w:bCs/>
          <w:color w:val="065A82"/>
          <w:sz w:val="26"/>
          <w:szCs w:val="26"/>
        </w:rPr>
        <w:t xml:space="preserve">3.3 What keeps dealers up at night</w:t>
      </w:r>
    </w:p>
    <w:p>
      <w:pPr>
        <w:spacing w:after="120"/>
      </w:pPr>
      <w:r>
        <w:rPr>
          <w:rFonts w:ascii="Calibri" w:cs="Calibri" w:eastAsia="Calibri" w:hAnsi="Calibri"/>
          <w:color w:val="222222"/>
          <w:sz w:val="22"/>
          <w:szCs w:val="22"/>
        </w:rPr>
        <w:t xml:space="preserve">Over-reliance on new-customer acquisition; the winter cash gap under a year-round payroll; one-time buyers who never return; open estimates and balances quietly leaking revenue; lapsed customers who didn’t come back this season; and native marketing tools too thin to activate the data they already own. Each pain maps to a named campaign in Section 9.</w:t>
      </w:r>
    </w:p>
    <w:p>
      <w:pPr>
        <w:pStyle w:val="Heading1"/>
        <w:spacing w:after="160" w:before="320"/>
      </w:pPr>
      <w:r>
        <w:rPr>
          <w:rFonts w:ascii="Cambria" w:cs="Cambria" w:eastAsia="Cambria" w:hAnsi="Cambria"/>
          <w:b/>
          <w:bCs/>
          <w:color w:val="21295C"/>
          <w:sz w:val="32"/>
          <w:szCs w:val="32"/>
        </w:rPr>
        <w:t xml:space="preserve">4. The Opening — Why SSP Wins Here</w:t>
      </w:r>
    </w:p>
    <w:p>
      <w:pPr>
        <w:spacing w:after="120"/>
      </w:pPr>
      <w:r>
        <w:rPr>
          <w:rFonts w:ascii="Calibri" w:cs="Calibri" w:eastAsia="Calibri" w:hAnsi="Calibri"/>
          <w:color w:val="222222"/>
          <w:sz w:val="22"/>
          <w:szCs w:val="22"/>
        </w:rPr>
        <w:t xml:space="preserve">LOU markets a native “Campaign Hub,” but it is thin: drip streams, manually pulled lists, email via Outlook. The dealer’s transaction data exists but cannot easily be activated. That is the wedge: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Capability</w:t>
            </w:r>
          </w:p>
        </w:tc>
        <w:tc>
          <w:tcPr>
            <w:tcW w:type="dxa" w:w="33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LOU native marketing</w:t>
            </w:r>
          </w:p>
        </w:tc>
        <w:tc>
          <w:tcPr>
            <w:tcW w:type="dxa" w:w="3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SSP on MyLeadHub/GHL</w:t>
            </w:r>
          </w:p>
        </w:tc>
      </w:tr>
      <w:tr>
        <w:tc>
          <w:tcPr>
            <w:tcW w:type="dxa" w:w="2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Channels</w:t>
            </w:r>
          </w:p>
        </w:tc>
        <w:tc>
          <w:tcPr>
            <w:tcW w:type="dxa" w:w="3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 (Outlook), basic</w:t>
            </w:r>
          </w:p>
        </w:tc>
        <w:tc>
          <w:tcPr>
            <w:tcW w:type="dxa" w:w="3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 SMS, voice AI, GMB, reputation, paid retargeting</w:t>
            </w:r>
          </w:p>
        </w:tc>
      </w:tr>
      <w:tr>
        <w:tc>
          <w:tcPr>
            <w:tcW w:type="dxa" w:w="2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Triggering</w:t>
            </w:r>
          </w:p>
        </w:tc>
        <w:tc>
          <w:tcPr>
            <w:tcW w:type="dxa" w:w="3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drip streams, manual lists</w:t>
            </w:r>
          </w:p>
        </w:tc>
        <w:tc>
          <w:tcPr>
            <w:tcW w:type="dxa" w:w="3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behavior- and purchase-triggered automation</w:t>
            </w:r>
          </w:p>
        </w:tc>
      </w:tr>
      <w:tr>
        <w:tc>
          <w:tcPr>
            <w:tcW w:type="dxa" w:w="2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Purchase history</w:t>
            </w:r>
          </w:p>
        </w:tc>
        <w:tc>
          <w:tcPr>
            <w:tcW w:type="dxa" w:w="3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limited exposure</w:t>
            </w:r>
          </w:p>
        </w:tc>
        <w:tc>
          <w:tcPr>
            <w:tcW w:type="dxa" w:w="3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full line-item history drives every play</w:t>
            </w:r>
          </w:p>
        </w:tc>
      </w:tr>
      <w:tr>
        <w:tc>
          <w:tcPr>
            <w:tcW w:type="dxa" w:w="2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Attribution</w:t>
            </w:r>
          </w:p>
        </w:tc>
        <w:tc>
          <w:tcPr>
            <w:tcW w:type="dxa" w:w="3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minimal</w:t>
            </w:r>
          </w:p>
        </w:tc>
        <w:tc>
          <w:tcPr>
            <w:tcW w:type="dxa" w:w="3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offer → purchase → won-opportunity, in invoice dollars</w:t>
            </w:r>
          </w:p>
        </w:tc>
      </w:tr>
      <w:tr>
        <w:tc>
          <w:tcPr>
            <w:tcW w:type="dxa" w:w="2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Strategy &amp; creative</w:t>
            </w:r>
          </w:p>
        </w:tc>
        <w:tc>
          <w:tcPr>
            <w:tcW w:type="dxa" w:w="3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dealer DIY</w:t>
            </w:r>
          </w:p>
        </w:tc>
        <w:tc>
          <w:tcPr>
            <w:tcW w:type="dxa" w:w="3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done-for-you agency layer</w:t>
            </w:r>
          </w:p>
        </w:tc>
      </w:tr>
    </w:tbl>
    <w:p>
      <w:pPr>
        <w:spacing w:after="160"/>
      </w:pPr>
    </w:p>
    <w:p>
      <w:pPr>
        <w:spacing w:after="120"/>
      </w:pPr>
      <w:r>
        <w:rPr>
          <w:rFonts w:ascii="Calibri" w:cs="Calibri" w:eastAsia="Calibri" w:hAnsi="Calibri"/>
          <w:b/>
          <w:bCs/>
          <w:color w:val="222222"/>
          <w:sz w:val="22"/>
          <w:szCs w:val="22"/>
        </w:rPr>
        <w:t xml:space="preserve">The one-line pitch: </w:t>
      </w:r>
      <w:r>
        <w:rPr>
          <w:rFonts w:ascii="Calibri" w:cs="Calibri" w:eastAsia="Calibri" w:hAnsi="Calibri"/>
          <w:i/>
          <w:iCs/>
          <w:color w:val="222222"/>
          <w:sz w:val="22"/>
          <w:szCs w:val="22"/>
        </w:rPr>
        <w:t xml:space="preserve">LOU holds the data; SSP turns it into recurring revenue. </w:t>
      </w:r>
      <w:r>
        <w:rPr>
          <w:rFonts w:ascii="Calibri" w:cs="Calibri" w:eastAsia="Calibri" w:hAnsi="Calibri"/>
          <w:color w:val="222222"/>
          <w:sz w:val="22"/>
          <w:szCs w:val="22"/>
        </w:rPr>
        <w:t xml:space="preserve">And because campaigns are measured in ERP-verified orders — not clicks — no other marketing vendor in this vertical can show the number we show.</w:t>
      </w:r>
    </w:p>
    <w:p>
      <w:pPr>
        <w:pStyle w:val="Heading1"/>
        <w:spacing w:after="160" w:before="320"/>
      </w:pPr>
      <w:r>
        <w:rPr>
          <w:rFonts w:ascii="Cambria" w:cs="Cambria" w:eastAsia="Cambria" w:hAnsi="Cambria"/>
          <w:b/>
          <w:bCs/>
          <w:color w:val="21295C"/>
          <w:sz w:val="32"/>
          <w:szCs w:val="32"/>
        </w:rPr>
        <w:t xml:space="preserve">5. Program Overview — The Three-Party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Party</w:t>
            </w:r>
          </w:p>
        </w:tc>
        <w:tc>
          <w:tcPr>
            <w:tcW w:type="dxa" w:w="383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Brings</w:t>
            </w:r>
          </w:p>
        </w:tc>
        <w:tc>
          <w:tcPr>
            <w:tcW w:type="dxa" w:w="383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Gets</w:t>
            </w:r>
          </w:p>
        </w:tc>
      </w:tr>
      <w:tr>
        <w:tc>
          <w:tcPr>
            <w:tcW w:type="dxa" w:w="1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Dealer</w:t>
            </w:r>
          </w:p>
        </w:tc>
        <w:tc>
          <w:tcPr>
            <w:tcW w:type="dxa" w:w="383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Free enrollment + data authorization; offer approval; capacity to fulfill demand</w:t>
            </w:r>
          </w:p>
        </w:tc>
        <w:tc>
          <w:tcPr>
            <w:tcW w:type="dxa" w:w="383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Managed lifecycle marketing; monthly ERP-verified revenue report; no integration cost</w:t>
            </w:r>
          </w:p>
        </w:tc>
      </w:tr>
      <w:tr>
        <w:tc>
          <w:tcPr>
            <w:tcW w:type="dxa" w:w="1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Evosus</w:t>
            </w:r>
          </w:p>
        </w:tc>
        <w:tc>
          <w:tcPr>
            <w:tcW w:type="dxa" w:w="383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APIs &amp; data exchange; in-LOU enrollment; dealer referrals; trigger roadmap</w:t>
            </w:r>
          </w:p>
        </w:tc>
        <w:tc>
          <w:tcPr>
            <w:tcW w:type="dxa" w:w="383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LOU differentiation &amp; stickiness; referrals of non-LOU dealers; the joint case-study story</w:t>
            </w:r>
          </w:p>
        </w:tc>
      </w:tr>
      <w:tr>
        <w:tc>
          <w:tcPr>
            <w:tcW w:type="dxa" w:w="1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Small Screen Producer</w:t>
            </w:r>
          </w:p>
        </w:tc>
        <w:tc>
          <w:tcPr>
            <w:tcW w:type="dxa" w:w="383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Strategy, creative, execution, optimization, compliance, reporting</w:t>
            </w:r>
          </w:p>
        </w:tc>
        <w:tc>
          <w:tcPr>
            <w:tcW w:type="dxa" w:w="383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Qualified dealer referrals; the data feed; program revenue + the expansion path (Section 16)</w:t>
            </w:r>
          </w:p>
        </w:tc>
      </w:tr>
    </w:tbl>
    <w:p>
      <w:pPr>
        <w:spacing w:after="160"/>
      </w:pPr>
    </w:p>
    <w:p>
      <w:pPr>
        <w:spacing w:after="120"/>
      </w:pPr>
      <w:r>
        <w:rPr>
          <w:rFonts w:ascii="Calibri" w:cs="Calibri" w:eastAsia="Calibri" w:hAnsi="Calibri"/>
          <w:color w:val="222222"/>
          <w:sz w:val="22"/>
          <w:szCs w:val="22"/>
        </w:rPr>
        <w:t xml:space="preserve">Dealer journey: Enroll (free, one authorization) → Onboard (SSP provisions everything, about one week — Section 14) → Run (campaigns fire from LOU activity; dealer approves offers) → Prove (monthly attribution report → QBR → case study → referrals).</w:t>
      </w:r>
    </w:p>
    <w:p>
      <w:r>
        <w:br w:type="page"/>
      </w:r>
    </w:p>
    <w:p>
      <w:pPr>
        <w:pStyle w:val="Heading1"/>
        <w:spacing w:after="160" w:before="320"/>
      </w:pPr>
      <w:r>
        <w:rPr>
          <w:rFonts w:ascii="Cambria" w:cs="Cambria" w:eastAsia="Cambria" w:hAnsi="Cambria"/>
          <w:b/>
          <w:bCs/>
          <w:color w:val="21295C"/>
          <w:sz w:val="32"/>
          <w:szCs w:val="32"/>
        </w:rPr>
        <w:t xml:space="preserve">6. How the Engine Works</w:t>
      </w:r>
    </w:p>
    <w:p>
      <w:pPr>
        <w:spacing w:after="120"/>
      </w:pPr>
      <w:r>
        <w:rPr>
          <w:rFonts w:ascii="Calibri" w:cs="Calibri" w:eastAsia="Calibri" w:hAnsi="Calibri"/>
          <w:color w:val="222222"/>
          <w:sz w:val="22"/>
          <w:szCs w:val="22"/>
        </w:rPr>
        <w:t xml:space="preserve">Three layers, one direction of flow (from Engineering Spec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Layer</w:t>
            </w:r>
          </w:p>
        </w:tc>
        <w:tc>
          <w:tcPr>
            <w:tcW w:type="dxa" w:w="45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Role</w:t>
            </w:r>
          </w:p>
        </w:tc>
        <w:tc>
          <w:tcPr>
            <w:tcW w:type="dxa" w:w="24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Key rule</w:t>
            </w:r>
          </w:p>
        </w:tc>
      </w:tr>
      <w:tr>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LOU (dealer’s ERP)</w:t>
            </w:r>
          </w:p>
        </w:tc>
        <w:tc>
          <w:tcPr>
            <w:tcW w:type="dxa" w:w="4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System of record: who bought what, when, for how much; service jobs and status</w:t>
            </w:r>
          </w:p>
        </w:tc>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 read; Phase 3 adds write-back</w:t>
            </w:r>
          </w:p>
        </w:tc>
      </w:tr>
      <w:tr>
        <w:tc>
          <w:tcPr>
            <w:tcW w:type="dxa" w:w="2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Connector (“the forklift”)</w:t>
            </w:r>
          </w:p>
        </w:tc>
        <w:tc>
          <w:tcPr>
            <w:tcW w:type="dxa" w:w="4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Nightly per-dealer sync + signal computation: reorder timing, ownership, lapsed status, offer selection</w:t>
            </w:r>
          </w:p>
        </w:tc>
        <w:tc>
          <w:tcPr>
            <w:tcW w:type="dxa" w:w="24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No campaign logic — it computes signals and writes tags/fields/records</w:t>
            </w:r>
          </w:p>
        </w:tc>
      </w:tr>
      <w:tr>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GHL / MyLeadHub</w:t>
            </w:r>
          </w:p>
        </w:tc>
        <w:tc>
          <w:tcPr>
            <w:tcW w:type="dxa" w:w="4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One sub-account per dealer, stamped from ONE master snapshot; all workflows, emails, funnels, pipelines, reporting</w:t>
            </w:r>
          </w:p>
        </w:tc>
        <w:tc>
          <w:tcPr>
            <w:tcW w:type="dxa" w:w="24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AMs work only here; campaigns fire on their own from the data</w:t>
            </w:r>
          </w:p>
        </w:tc>
      </w:tr>
    </w:tbl>
    <w:p>
      <w:pPr>
        <w:spacing w:after="160"/>
      </w:pPr>
    </w:p>
    <w:p>
      <w:pPr>
        <w:pStyle w:val="Heading2"/>
        <w:spacing w:after="120" w:before="240"/>
      </w:pPr>
      <w:r>
        <w:rPr>
          <w:rFonts w:ascii="Cambria" w:cs="Cambria" w:eastAsia="Cambria" w:hAnsi="Cambria"/>
          <w:b/>
          <w:bCs/>
          <w:color w:val="065A82"/>
          <w:sz w:val="26"/>
          <w:szCs w:val="26"/>
        </w:rPr>
        <w:t xml:space="preserve">6.1 What a synced customer looks like</w:t>
      </w:r>
    </w:p>
    <w:p>
      <w:pPr>
        <w:spacing w:after="120"/>
      </w:pPr>
      <w:r>
        <w:rPr>
          <w:rFonts w:ascii="Calibri" w:cs="Calibri" w:eastAsia="Calibri" w:hAnsi="Calibri"/>
          <w:color w:val="222222"/>
          <w:sz w:val="22"/>
          <w:szCs w:val="22"/>
        </w:rPr>
        <w:t xml:space="preserve">The worked example from the engineering spec: a customer buys an $8,400 hot tub on June 3. After that night’s sync her contact card carries tags (lou-import, bought:hot-tubs, owns:hot-tub), fields (lou_customer_id, last_purchase_date, ltv_total, major_purchase_* including product, amount, and salesperson, lou_balance_due, lou_portal_url), and a Purchase record per line item. Every campaign in Section 10 reads from exactly this card — there is no other data store the marketing side needs.</w:t>
      </w:r>
    </w:p>
    <w:p>
      <w:pPr>
        <w:pStyle w:val="Heading2"/>
        <w:spacing w:after="120" w:before="240"/>
      </w:pPr>
      <w:r>
        <w:rPr>
          <w:rFonts w:ascii="Cambria" w:cs="Cambria" w:eastAsia="Cambria" w:hAnsi="Cambria"/>
          <w:b/>
          <w:bCs/>
          <w:color w:val="065A82"/>
          <w:sz w:val="26"/>
          <w:szCs w:val="26"/>
        </w:rPr>
        <w:t xml:space="preserve">6.2 The snapshot model — running 100 dealers like one</w:t>
      </w:r>
    </w:p>
    <w:p>
      <w:pPr>
        <w:pStyle w:val="ListParagraph"/>
        <w:numPr>
          <w:ilvl w:val="0"/>
          <w:numId w:val="2"/>
        </w:numPr>
        <w:spacing w:after="80"/>
      </w:pPr>
      <w:r>
        <w:rPr>
          <w:rFonts w:ascii="Calibri" w:cs="Calibri" w:eastAsia="Calibri" w:hAnsi="Calibri"/>
          <w:b/>
          <w:bCs/>
          <w:color w:val="222222"/>
          <w:sz w:val="22"/>
          <w:szCs w:val="22"/>
        </w:rPr>
        <w:t xml:space="preserve">Master sub-account </w:t>
      </w:r>
      <w:r>
        <w:rPr>
          <w:rFonts w:ascii="Calibri" w:cs="Calibri" w:eastAsia="Calibri" w:hAnsi="Calibri"/>
          <w:color w:val="222222"/>
          <w:sz w:val="22"/>
          <w:szCs w:val="22"/>
        </w:rPr>
        <w:t xml:space="preserve">(SSP-owned) holds the schema, the tag taxonomy, the [SSP-CORE] workflow library, templates, and the attribution pipeline. It is the only place campaigns are built.</w:t>
      </w:r>
    </w:p>
    <w:p>
      <w:pPr>
        <w:pStyle w:val="ListParagraph"/>
        <w:numPr>
          <w:ilvl w:val="0"/>
          <w:numId w:val="2"/>
        </w:numPr>
        <w:spacing w:after="80"/>
      </w:pPr>
      <w:r>
        <w:rPr>
          <w:rFonts w:ascii="Calibri" w:cs="Calibri" w:eastAsia="Calibri" w:hAnsi="Calibri"/>
          <w:b/>
          <w:bCs/>
          <w:color w:val="222222"/>
          <w:sz w:val="22"/>
          <w:szCs w:val="22"/>
        </w:rPr>
        <w:t xml:space="preserve">Per-dealer sub-account </w:t>
      </w:r>
      <w:r>
        <w:rPr>
          <w:rFonts w:ascii="Calibri" w:cs="Calibri" w:eastAsia="Calibri" w:hAnsi="Calibri"/>
          <w:color w:val="222222"/>
          <w:sz w:val="22"/>
          <w:szCs w:val="22"/>
        </w:rPr>
        <w:t xml:space="preserve">= snapshot of the master + Config values the AM sets at onboarding (dealer name, links, offers per category, referral amounts, reorder offsets, seasonal window dates).</w:t>
      </w:r>
    </w:p>
    <w:p>
      <w:pPr>
        <w:pStyle w:val="ListParagraph"/>
        <w:numPr>
          <w:ilvl w:val="0"/>
          <w:numId w:val="2"/>
        </w:numPr>
        <w:spacing w:after="80"/>
      </w:pPr>
      <w:r>
        <w:rPr>
          <w:rFonts w:ascii="Calibri" w:cs="Calibri" w:eastAsia="Calibri" w:hAnsi="Calibri"/>
          <w:b/>
          <w:bCs/>
          <w:color w:val="222222"/>
          <w:sz w:val="22"/>
          <w:szCs w:val="22"/>
        </w:rPr>
        <w:t xml:space="preserve">Network-in-a-day: </w:t>
      </w:r>
      <w:r>
        <w:rPr>
          <w:rFonts w:ascii="Calibri" w:cs="Calibri" w:eastAsia="Calibri" w:hAnsi="Calibri"/>
          <w:color w:val="222222"/>
          <w:sz w:val="22"/>
          <w:szCs w:val="22"/>
        </w:rPr>
        <w:t xml:space="preserve">build “Spring Opening 2027” once in the master, push the snapshot, and every dealer’s April calendar is loaded. One build, N deployments.</w:t>
      </w:r>
    </w:p>
    <w:p>
      <w:pPr>
        <w:pStyle w:val="ListParagraph"/>
        <w:numPr>
          <w:ilvl w:val="0"/>
          <w:numId w:val="2"/>
        </w:numPr>
        <w:spacing w:after="80"/>
      </w:pPr>
      <w:r>
        <w:rPr>
          <w:rFonts w:ascii="Calibri" w:cs="Calibri" w:eastAsia="Calibri" w:hAnsi="Calibri"/>
          <w:b/>
          <w:bCs/>
          <w:color w:val="222222"/>
          <w:sz w:val="22"/>
          <w:szCs w:val="22"/>
        </w:rPr>
        <w:t xml:space="preserve">The discipline: </w:t>
      </w:r>
      <w:r>
        <w:rPr>
          <w:rFonts w:ascii="Calibri" w:cs="Calibri" w:eastAsia="Calibri" w:hAnsi="Calibri"/>
          <w:color w:val="222222"/>
          <w:sz w:val="22"/>
          <w:szCs w:val="22"/>
        </w:rPr>
        <w:t xml:space="preserve">[SSP-CORE] items are only edited in the master; dealer one-offs get a [DEALER] prefix outside the snapshot path.</w:t>
      </w:r>
    </w:p>
    <w:p>
      <w:pPr>
        <w:pStyle w:val="Heading1"/>
        <w:spacing w:after="160" w:before="320"/>
      </w:pPr>
      <w:r>
        <w:rPr>
          <w:rFonts w:ascii="Cambria" w:cs="Cambria" w:eastAsia="Cambria" w:hAnsi="Cambria"/>
          <w:b/>
          <w:bCs/>
          <w:color w:val="21295C"/>
          <w:sz w:val="32"/>
          <w:szCs w:val="32"/>
        </w:rPr>
        <w:t xml:space="preserve">7. Data Foundation</w:t>
      </w:r>
    </w:p>
    <w:p>
      <w:pPr>
        <w:pStyle w:val="Heading2"/>
        <w:spacing w:after="120" w:before="240"/>
      </w:pPr>
      <w:r>
        <w:rPr>
          <w:rFonts w:ascii="Cambria" w:cs="Cambria" w:eastAsia="Cambria" w:hAnsi="Cambria"/>
          <w:b/>
          <w:bCs/>
          <w:color w:val="065A82"/>
          <w:sz w:val="26"/>
          <w:szCs w:val="26"/>
        </w:rPr>
        <w:t xml:space="preserve">7.1 Integration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3060"/>
      </w:tblGrid>
      <w:tr>
        <w:trPr>
          <w:tblHeader/>
        </w:trPr>
        <w:tc>
          <w:tcPr>
            <w:tcW w:type="dxa" w:w="20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Phase</w:t>
            </w:r>
          </w:p>
        </w:tc>
        <w:tc>
          <w:tcPr>
            <w:tcW w:type="dxa" w:w="42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Mechanism</w:t>
            </w:r>
          </w:p>
        </w:tc>
        <w:tc>
          <w:tcPr>
            <w:tcW w:type="dxa" w:w="30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What it enables</w:t>
            </w:r>
          </w:p>
        </w:tc>
      </w:tr>
      <w:tr>
        <w:tc>
          <w:tcPr>
            <w:tcW w:type="dxa" w:w="20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1 — Launch (Sep)</w:t>
            </w:r>
          </w:p>
        </w:tc>
        <w:tc>
          <w:tcPr>
            <w:tcW w:type="dxa" w:w="42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Nightly poll of the new orders-by-date API (Order ID, Customer ID, Type, Status per day) → detail pulls via existing endpoints: /orders/sales|work/{id}, /customers/{id}, /customers/{id}/skus</w:t>
            </w:r>
          </w:p>
        </w:tc>
        <w:tc>
          <w:tcPr>
            <w:tcW w:type="dxa" w:w="30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10 of 12 campaigns; full attribution; the pilot</w:t>
            </w:r>
          </w:p>
        </w:tc>
      </w:tr>
      <w:tr>
        <w:tc>
          <w:tcPr>
            <w:tcW w:type="dxa" w:w="20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2 — Push (Evosus in dev)</w:t>
            </w:r>
          </w:p>
        </w:tc>
        <w:tc>
          <w:tcPr>
            <w:tcW w:type="dxa" w:w="42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WebSocket/webhook push on order events (Eric’s 7/1 receiver spec, Appendix C, becomes relevant again)</w:t>
            </w:r>
          </w:p>
        </w:tc>
        <w:tc>
          <w:tcPr>
            <w:tcW w:type="dxa" w:w="30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Same-day timing — biggest win: the post-service rating SMS hours after the visit</w:t>
            </w:r>
          </w:p>
        </w:tc>
      </w:tr>
      <w:tr>
        <w:tc>
          <w:tcPr>
            <w:tcW w:type="dxa" w:w="20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3 — Richer data</w:t>
            </w:r>
          </w:p>
        </w:tc>
        <w:tc>
          <w:tcPr>
            <w:tcW w:type="dxa" w:w="42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Estimates read; customer list/changed-customers; equipment registry; write-back (web lead → LOU customer, funnel booking → LOU work order)</w:t>
            </w:r>
          </w:p>
        </w:tc>
        <w:tc>
          <w:tcPr>
            <w:tcW w:type="dxa" w:w="30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C8 Quote Rescue; C12 full version; CSV-free onboarding; GHL feeds the dealer’s ERP qualified demand</w:t>
            </w:r>
          </w:p>
        </w:tc>
      </w:tr>
    </w:tbl>
    <w:p>
      <w:pPr>
        <w:spacing w:after="160"/>
      </w:pPr>
    </w:p>
    <w:p>
      <w:pPr>
        <w:pStyle w:val="Heading2"/>
        <w:spacing w:after="120" w:before="240"/>
      </w:pPr>
      <w:r>
        <w:rPr>
          <w:rFonts w:ascii="Cambria" w:cs="Cambria" w:eastAsia="Cambria" w:hAnsi="Cambria"/>
          <w:b/>
          <w:bCs/>
          <w:color w:val="065A82"/>
          <w:sz w:val="26"/>
          <w:szCs w:val="26"/>
        </w:rPr>
        <w:t xml:space="preserve">7.2 Created vs. completed — the polling design</w:t>
      </w:r>
    </w:p>
    <w:p>
      <w:pPr>
        <w:spacing w:after="120"/>
      </w:pPr>
      <w:r>
        <w:rPr>
          <w:rFonts w:ascii="Calibri" w:cs="Calibri" w:eastAsia="Calibri" w:hAnsi="Calibri"/>
          <w:color w:val="222222"/>
          <w:sz w:val="22"/>
          <w:szCs w:val="22"/>
        </w:rPr>
        <w:t xml:space="preserve">The interim API lists orders by CREATED date, but most campaigns trigger on COMPLETED orders. The sync therefore keeps a small open-order ledger: each day it (a) ingests newly created orders, and (b) re-polls the status of known open orders via the detail endpoints until they reach a completed/invoiced state, then fires the trigger. Status values observed in the API docs are free-form strings (“Pending,” “Complete”) — confirming the exact production vocabulary is question #1 in Eric’s reply to John. A status-change feed is the cleaner long-term answer and is on the Evosus ask list.</w:t>
      </w:r>
    </w:p>
    <w:p>
      <w:pPr>
        <w:pStyle w:val="Heading2"/>
        <w:spacing w:after="120" w:before="240"/>
      </w:pPr>
      <w:r>
        <w:rPr>
          <w:rFonts w:ascii="Cambria" w:cs="Cambria" w:eastAsia="Cambria" w:hAnsi="Cambria"/>
          <w:b/>
          <w:bCs/>
          <w:color w:val="065A82"/>
          <w:sz w:val="26"/>
          <w:szCs w:val="26"/>
        </w:rPr>
        <w:t xml:space="preserve">7.3 What the API audit confirmed (full reference: Appendix A)</w:t>
      </w:r>
    </w:p>
    <w:p>
      <w:pPr>
        <w:pStyle w:val="ListParagraph"/>
        <w:numPr>
          <w:ilvl w:val="0"/>
          <w:numId w:val="2"/>
        </w:numPr>
        <w:spacing w:after="80"/>
      </w:pPr>
      <w:r>
        <w:rPr>
          <w:rFonts w:ascii="Calibri" w:cs="Calibri" w:eastAsia="Calibri" w:hAnsi="Calibri"/>
          <w:b/>
          <w:bCs/>
          <w:color w:val="222222"/>
          <w:sz w:val="22"/>
          <w:szCs w:val="22"/>
        </w:rPr>
        <w:t xml:space="preserve">Dollar amounts: confirmed. </w:t>
      </w:r>
      <w:r>
        <w:rPr>
          <w:rFonts w:ascii="Calibri" w:cs="Calibri" w:eastAsia="Calibri" w:hAnsi="Calibri"/>
          <w:color w:val="222222"/>
          <w:sz w:val="22"/>
          <w:szCs w:val="22"/>
        </w:rPr>
        <w:t xml:space="preserve">orderTotal at order level; price, subtotal, discount per line; tax detail; and payments received. Dan’s June question is fully answered.</w:t>
      </w:r>
    </w:p>
    <w:p>
      <w:pPr>
        <w:pStyle w:val="ListParagraph"/>
        <w:numPr>
          <w:ilvl w:val="0"/>
          <w:numId w:val="2"/>
        </w:numPr>
        <w:spacing w:after="80"/>
      </w:pPr>
      <w:r>
        <w:rPr>
          <w:rFonts w:ascii="Calibri" w:cs="Calibri" w:eastAsia="Calibri" w:hAnsi="Calibri"/>
          <w:b/>
          <w:bCs/>
          <w:color w:val="222222"/>
          <w:sz w:val="22"/>
          <w:szCs w:val="22"/>
        </w:rPr>
        <w:t xml:space="preserve">Balance + portal: confirmed. </w:t>
      </w:r>
      <w:r>
        <w:rPr>
          <w:rFonts w:ascii="Calibri" w:cs="Calibri" w:eastAsia="Calibri" w:hAnsi="Calibri"/>
          <w:color w:val="222222"/>
          <w:sz w:val="22"/>
          <w:szCs w:val="22"/>
        </w:rPr>
        <w:t xml:space="preserve">customerBalanceDue and customerPortalURL on GET /customers/{id} — Campaign 9 runs today.</w:t>
      </w:r>
    </w:p>
    <w:p>
      <w:pPr>
        <w:pStyle w:val="ListParagraph"/>
        <w:numPr>
          <w:ilvl w:val="0"/>
          <w:numId w:val="2"/>
        </w:numPr>
        <w:spacing w:after="80"/>
      </w:pPr>
      <w:r>
        <w:rPr>
          <w:rFonts w:ascii="Calibri" w:cs="Calibri" w:eastAsia="Calibri" w:hAnsi="Calibri"/>
          <w:b/>
          <w:bCs/>
          <w:color w:val="222222"/>
          <w:sz w:val="22"/>
          <w:szCs w:val="22"/>
        </w:rPr>
        <w:t xml:space="preserve">Schedule data: available. </w:t>
      </w:r>
      <w:r>
        <w:rPr>
          <w:rFonts w:ascii="Calibri" w:cs="Calibri" w:eastAsia="Calibri" w:hAnsi="Calibri"/>
          <w:color w:val="222222"/>
          <w:sz w:val="22"/>
          <w:szCs w:val="22"/>
        </w:rPr>
        <w:t xml:space="preserve">scheduleTasks on orders (dates, task types, confirmations) — appointment-aware messaging is possible earlier than expected.</w:t>
      </w:r>
    </w:p>
    <w:p>
      <w:pPr>
        <w:pStyle w:val="ListParagraph"/>
        <w:numPr>
          <w:ilvl w:val="0"/>
          <w:numId w:val="2"/>
        </w:numPr>
        <w:spacing w:after="80"/>
      </w:pPr>
      <w:r>
        <w:rPr>
          <w:rFonts w:ascii="Calibri" w:cs="Calibri" w:eastAsia="Calibri" w:hAnsi="Calibri"/>
          <w:b/>
          <w:bCs/>
          <w:color w:val="222222"/>
          <w:sz w:val="22"/>
          <w:szCs w:val="22"/>
        </w:rPr>
        <w:t xml:space="preserve">Recurring orders: visible </w:t>
      </w:r>
      <w:r>
        <w:rPr>
          <w:rFonts w:ascii="Calibri" w:cs="Calibri" w:eastAsia="Calibri" w:hAnsi="Calibri"/>
          <w:color w:val="222222"/>
          <w:sz w:val="22"/>
          <w:szCs w:val="22"/>
        </w:rPr>
        <w:t xml:space="preserve">as a transaction source — the Campaign 7 plan-member signal.</w:t>
      </w:r>
    </w:p>
    <w:p>
      <w:pPr>
        <w:pStyle w:val="ListParagraph"/>
        <w:numPr>
          <w:ilvl w:val="0"/>
          <w:numId w:val="2"/>
        </w:numPr>
        <w:spacing w:after="80"/>
      </w:pPr>
      <w:r>
        <w:rPr>
          <w:rFonts w:ascii="Calibri" w:cs="Calibri" w:eastAsia="Calibri" w:hAnsi="Calibri"/>
          <w:b/>
          <w:bCs/>
          <w:color w:val="222222"/>
          <w:sz w:val="22"/>
          <w:szCs w:val="22"/>
        </w:rPr>
        <w:t xml:space="preserve">Product catalog: rich. </w:t>
      </w:r>
      <w:r>
        <w:rPr>
          <w:rFonts w:ascii="Calibri" w:cs="Calibri" w:eastAsia="Calibri" w:hAnsi="Calibri"/>
          <w:color w:val="222222"/>
          <w:sz w:val="22"/>
          <w:szCs w:val="22"/>
        </w:rPr>
        <w:t xml:space="preserve">Stock levels, clearance/discontinued flags, pictures — inventory-aware promos are feasible in Phase 2.</w:t>
      </w:r>
    </w:p>
    <w:p>
      <w:pPr>
        <w:pStyle w:val="ListParagraph"/>
        <w:numPr>
          <w:ilvl w:val="0"/>
          <w:numId w:val="2"/>
        </w:numPr>
        <w:spacing w:after="80"/>
      </w:pPr>
      <w:r>
        <w:rPr>
          <w:rFonts w:ascii="Calibri" w:cs="Calibri" w:eastAsia="Calibri" w:hAnsi="Calibri"/>
          <w:b/>
          <w:bCs/>
          <w:color w:val="222222"/>
          <w:sz w:val="22"/>
          <w:szCs w:val="22"/>
        </w:rPr>
        <w:t xml:space="preserve">Not exposed: </w:t>
      </w:r>
      <w:r>
        <w:rPr>
          <w:rFonts w:ascii="Calibri" w:cs="Calibri" w:eastAsia="Calibri" w:hAnsi="Calibri"/>
          <w:color w:val="222222"/>
          <w:sz w:val="22"/>
          <w:szCs w:val="22"/>
        </w:rPr>
        <w:t xml:space="preserve">estimates (gates C8), webhooks (Phase 2), a customer list (onboarding uses CSV export until then), a per-customer equipment registry (gates full C12).</w:t>
      </w:r>
    </w:p>
    <w:p>
      <w:pPr>
        <w:pStyle w:val="Heading1"/>
        <w:spacing w:after="160" w:before="320"/>
      </w:pPr>
      <w:r>
        <w:rPr>
          <w:rFonts w:ascii="Cambria" w:cs="Cambria" w:eastAsia="Cambria" w:hAnsi="Cambria"/>
          <w:b/>
          <w:bCs/>
          <w:color w:val="21295C"/>
          <w:sz w:val="32"/>
          <w:szCs w:val="32"/>
        </w:rPr>
        <w:t xml:space="preserve">8. Segmentation &amp;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rPr>
          <w:tblHeader/>
        </w:trPr>
        <w:tc>
          <w:tcPr>
            <w:tcW w:type="dxa" w:w="23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Object</w:t>
            </w:r>
          </w:p>
        </w:tc>
        <w:tc>
          <w:tcPr>
            <w:tcW w:type="dxa" w:w="45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Contents</w:t>
            </w:r>
          </w:p>
        </w:tc>
        <w:tc>
          <w:tcPr>
            <w:tcW w:type="dxa" w:w="25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Feeds</w:t>
            </w:r>
          </w:p>
        </w:tc>
      </w:tr>
      <w:tr>
        <w:tc>
          <w:tcPr>
            <w:tcW w:type="dxa" w:w="2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Contact fields</w:t>
            </w:r>
          </w:p>
        </w:tc>
        <w:tc>
          <w:tcPr>
            <w:tcW w:type="dxa" w:w="4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lou_customer_id, last_purchase_date, last_{category}_purchase, ltv_total, purchase_count, major_purchase_* (5), lou_balance_due, lou_portal_url, reorder_due_date, next_offer_* (3), lifecycle_stage, value_tier</w:t>
            </w:r>
          </w:p>
        </w:tc>
        <w:tc>
          <w:tcPr>
            <w:tcW w:type="dxa" w:w="2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all campaigns</w:t>
            </w:r>
          </w:p>
        </w:tc>
      </w:tr>
      <w:tr>
        <w:tc>
          <w:tcPr>
            <w:tcW w:type="dxa" w:w="2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Tags — ownership</w:t>
            </w:r>
          </w:p>
        </w:tc>
        <w:tc>
          <w:tcPr>
            <w:tcW w:type="dxa" w:w="4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owns:pool, owns:hot-tub, owns:sauna, owns:saltwater…</w:t>
            </w:r>
          </w:p>
        </w:tc>
        <w:tc>
          <w:tcPr>
            <w:tcW w:type="dxa" w:w="2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Seasonal, Upgrade, Replacement</w:t>
            </w:r>
          </w:p>
        </w:tc>
      </w:tr>
      <w:tr>
        <w:tc>
          <w:tcPr>
            <w:tcW w:type="dxa" w:w="2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Tags — behavior</w:t>
            </w:r>
          </w:p>
        </w:tc>
        <w:tc>
          <w:tcPr>
            <w:tcW w:type="dxa" w:w="4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chemical-buyer, service-customer, big-ticket-buyer</w:t>
            </w:r>
          </w:p>
        </w:tc>
        <w:tc>
          <w:tcPr>
            <w:tcW w:type="dxa" w:w="2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C5, C4, C2</w:t>
            </w:r>
          </w:p>
        </w:tc>
      </w:tr>
      <w:tr>
        <w:tc>
          <w:tcPr>
            <w:tcW w:type="dxa" w:w="2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Tags — lifecycle</w:t>
            </w:r>
          </w:p>
        </w:tc>
        <w:tc>
          <w:tcPr>
            <w:tcW w:type="dxa" w:w="4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lou-import, new-owner, lapsed, at-risk, service-completed, reorder-due, balance-due, estimate-open, upgrade-candidate, sms-consent</w:t>
            </w:r>
          </w:p>
        </w:tc>
        <w:tc>
          <w:tcPr>
            <w:tcW w:type="dxa" w:w="2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triggers throughout</w:t>
            </w:r>
          </w:p>
        </w:tc>
      </w:tr>
      <w:tr>
        <w:tc>
          <w:tcPr>
            <w:tcW w:type="dxa" w:w="2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Purchase object</w:t>
            </w:r>
          </w:p>
        </w:tc>
        <w:tc>
          <w:tcPr>
            <w:tcW w:type="dxa" w:w="4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order_id, purchase_date, product_name, product_sku, amount, status, salesperson + ADD: category, quantity, source</w:t>
            </w:r>
          </w:p>
        </w:tc>
        <w:tc>
          <w:tcPr>
            <w:tcW w:type="dxa" w:w="2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history, replenishment, attribution</w:t>
            </w:r>
          </w:p>
        </w:tc>
      </w:tr>
      <w:tr>
        <w:tc>
          <w:tcPr>
            <w:tcW w:type="dxa" w:w="2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Equipment/Asset object (proposed)</w:t>
            </w:r>
          </w:p>
        </w:tc>
        <w:tc>
          <w:tcPr>
            <w:tcW w:type="dxa" w:w="4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asset_type, brand_model, install_date, warranty_expiry, last_service_date, status</w:t>
            </w:r>
          </w:p>
        </w:tc>
        <w:tc>
          <w:tcPr>
            <w:tcW w:type="dxa" w:w="2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C12 full version — pending schema decision + API</w:t>
            </w:r>
          </w:p>
        </w:tc>
      </w:tr>
      <w:tr>
        <w:tc>
          <w:tcPr>
            <w:tcW w:type="dxa" w:w="2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Pipelines</w:t>
            </w:r>
          </w:p>
        </w:tc>
        <w:tc>
          <w:tcPr>
            <w:tcW w:type="dxa" w:w="4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Big-Ticket Sales (Estimate Sent → Won); Service/Renewal; Purchases — Attributed</w:t>
            </w:r>
          </w:p>
        </w:tc>
        <w:tc>
          <w:tcPr>
            <w:tcW w:type="dxa" w:w="2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C8, C7, reporting</w:t>
            </w:r>
          </w:p>
        </w:tc>
      </w:tr>
    </w:tbl>
    <w:p>
      <w:pPr>
        <w:spacing w:after="160"/>
      </w:pPr>
    </w:p>
    <w:p>
      <w:pPr>
        <w:spacing w:after="120"/>
      </w:pPr>
      <w:r>
        <w:rPr>
          <w:rFonts w:ascii="Calibri" w:cs="Calibri" w:eastAsia="Calibri" w:hAnsi="Calibri"/>
          <w:color w:val="222222"/>
          <w:sz w:val="22"/>
          <w:szCs w:val="22"/>
        </w:rPr>
        <w:t xml:space="preserve">Open schema decisions carried from the lifecycle strategy doc: approve the Purchase-object additions (category, quantity, source — Campaign 5 needs them) and decide the Equipment/Asset object (recommended, gated on connector capacity and eventual API support).</w:t>
      </w:r>
    </w:p>
    <w:p>
      <w:r>
        <w:br w:type="page"/>
      </w:r>
    </w:p>
    <w:p>
      <w:pPr>
        <w:pStyle w:val="Heading1"/>
        <w:spacing w:after="160" w:before="320"/>
      </w:pPr>
      <w:r>
        <w:rPr>
          <w:rFonts w:ascii="Cambria" w:cs="Cambria" w:eastAsia="Cambria" w:hAnsi="Cambria"/>
          <w:b/>
          <w:bCs/>
          <w:color w:val="21295C"/>
          <w:sz w:val="32"/>
          <w:szCs w:val="32"/>
        </w:rPr>
        <w:t xml:space="preserve">9. The Campaign Portfolio at a Glance</w:t>
      </w:r>
    </w:p>
    <w:p>
      <w:pPr>
        <w:spacing w:after="120"/>
      </w:pPr>
      <w:r>
        <w:rPr>
          <w:rFonts w:ascii="Calibri" w:cs="Calibri" w:eastAsia="Calibri" w:hAnsi="Calibri"/>
          <w:color w:val="222222"/>
          <w:sz w:val="22"/>
          <w:szCs w:val="22"/>
        </w:rPr>
        <w:t xml:space="preserve">Twelve campaigns across three lifecycle stages. Ten run on launch data; two are gated and constitute the Evosus engineering asks. Priority order within a wave reflects speed-to-visible-win — the engagement strategy in Section 15 depends on early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100"/>
        <w:gridCol w:w="2760"/>
        <w:gridCol w:w="1300"/>
      </w:tblGrid>
      <w:tr>
        <w:trPr>
          <w:tblHeader/>
        </w:trPr>
        <w:tc>
          <w:tcPr>
            <w:tcW w:type="dxa" w:w="5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t>
            </w:r>
          </w:p>
        </w:tc>
        <w:tc>
          <w:tcPr>
            <w:tcW w:type="dxa" w:w="27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Campaign</w:t>
            </w:r>
          </w:p>
        </w:tc>
        <w:tc>
          <w:tcPr>
            <w:tcW w:type="dxa" w:w="21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Stage</w:t>
            </w:r>
          </w:p>
        </w:tc>
        <w:tc>
          <w:tcPr>
            <w:tcW w:type="dxa" w:w="27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Status</w:t>
            </w:r>
          </w:p>
        </w:tc>
        <w:tc>
          <w:tcPr>
            <w:tcW w:type="dxa" w:w="13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Launch wave</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1</w:t>
            </w:r>
          </w:p>
        </w:tc>
        <w:tc>
          <w:tcPr>
            <w:tcW w:type="dxa" w:w="2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 Splash</w:t>
            </w:r>
          </w:p>
        </w:tc>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 &amp; Grow</w:t>
            </w:r>
          </w:p>
        </w:tc>
        <w:tc>
          <w:tcPr>
            <w:tcW w:type="dxa" w:w="2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w:t>
            </w:r>
          </w:p>
        </w:tc>
        <w:tc>
          <w:tcPr>
            <w:tcW w:type="dxa" w:w="1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1</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2</w:t>
            </w:r>
          </w:p>
        </w:tc>
        <w:tc>
          <w:tcPr>
            <w:tcW w:type="dxa" w:w="2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Major Purchase Nurture</w:t>
            </w:r>
          </w:p>
        </w:tc>
        <w:tc>
          <w:tcPr>
            <w:tcW w:type="dxa" w:w="2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 &amp; Grow</w:t>
            </w:r>
          </w:p>
        </w:tc>
        <w:tc>
          <w:tcPr>
            <w:tcW w:type="dxa" w:w="27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w:t>
            </w:r>
          </w:p>
        </w:tc>
        <w:tc>
          <w:tcPr>
            <w:tcW w:type="dxa" w:w="1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2</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3</w:t>
            </w:r>
          </w:p>
        </w:tc>
        <w:tc>
          <w:tcPr>
            <w:tcW w:type="dxa" w:w="2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Referral Engine</w:t>
            </w:r>
          </w:p>
        </w:tc>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 &amp; Grow</w:t>
            </w:r>
          </w:p>
        </w:tc>
        <w:tc>
          <w:tcPr>
            <w:tcW w:type="dxa" w:w="2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w:t>
            </w:r>
          </w:p>
        </w:tc>
        <w:tc>
          <w:tcPr>
            <w:tcW w:type="dxa" w:w="1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2</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4</w:t>
            </w:r>
          </w:p>
        </w:tc>
        <w:tc>
          <w:tcPr>
            <w:tcW w:type="dxa" w:w="2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Service Excellence Loop</w:t>
            </w:r>
          </w:p>
        </w:tc>
        <w:tc>
          <w:tcPr>
            <w:tcW w:type="dxa" w:w="2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Service &amp; Retain</w:t>
            </w:r>
          </w:p>
        </w:tc>
        <w:tc>
          <w:tcPr>
            <w:tcW w:type="dxa" w:w="27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w:t>
            </w:r>
          </w:p>
        </w:tc>
        <w:tc>
          <w:tcPr>
            <w:tcW w:type="dxa" w:w="1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1</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5</w:t>
            </w:r>
          </w:p>
        </w:tc>
        <w:tc>
          <w:tcPr>
            <w:tcW w:type="dxa" w:w="2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Water Care Autopilot</w:t>
            </w:r>
          </w:p>
        </w:tc>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Service &amp; Retain</w:t>
            </w:r>
          </w:p>
        </w:tc>
        <w:tc>
          <w:tcPr>
            <w:tcW w:type="dxa" w:w="2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 — pilot anchor</w:t>
            </w:r>
          </w:p>
        </w:tc>
        <w:tc>
          <w:tcPr>
            <w:tcW w:type="dxa" w:w="1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1</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6</w:t>
            </w:r>
          </w:p>
        </w:tc>
        <w:tc>
          <w:tcPr>
            <w:tcW w:type="dxa" w:w="2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Season Ready</w:t>
            </w:r>
          </w:p>
        </w:tc>
        <w:tc>
          <w:tcPr>
            <w:tcW w:type="dxa" w:w="2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Service &amp; Retain</w:t>
            </w:r>
          </w:p>
        </w:tc>
        <w:tc>
          <w:tcPr>
            <w:tcW w:type="dxa" w:w="27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w:t>
            </w:r>
          </w:p>
        </w:tc>
        <w:tc>
          <w:tcPr>
            <w:tcW w:type="dxa" w:w="1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2</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7</w:t>
            </w:r>
          </w:p>
        </w:tc>
        <w:tc>
          <w:tcPr>
            <w:tcW w:type="dxa" w:w="2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Service Plan &amp; Renewal</w:t>
            </w:r>
          </w:p>
        </w:tc>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Service &amp; Retain</w:t>
            </w:r>
          </w:p>
        </w:tc>
        <w:tc>
          <w:tcPr>
            <w:tcW w:type="dxa" w:w="2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w:t>
            </w:r>
          </w:p>
        </w:tc>
        <w:tc>
          <w:tcPr>
            <w:tcW w:type="dxa" w:w="1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2</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8</w:t>
            </w:r>
          </w:p>
        </w:tc>
        <w:tc>
          <w:tcPr>
            <w:tcW w:type="dxa" w:w="2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Quote Rescue</w:t>
            </w:r>
          </w:p>
        </w:tc>
        <w:tc>
          <w:tcPr>
            <w:tcW w:type="dxa" w:w="2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Recover &amp; Upgrade</w:t>
            </w:r>
          </w:p>
        </w:tc>
        <w:tc>
          <w:tcPr>
            <w:tcW w:type="dxa" w:w="27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GATED: estimate API (ask #1)</w:t>
            </w:r>
          </w:p>
        </w:tc>
        <w:tc>
          <w:tcPr>
            <w:tcW w:type="dxa" w:w="1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 Evosus ship</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9</w:t>
            </w:r>
          </w:p>
        </w:tc>
        <w:tc>
          <w:tcPr>
            <w:tcW w:type="dxa" w:w="2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Balance-Due Recovery</w:t>
            </w:r>
          </w:p>
        </w:tc>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Recover &amp; Upgrade</w:t>
            </w:r>
          </w:p>
        </w:tc>
        <w:tc>
          <w:tcPr>
            <w:tcW w:type="dxa" w:w="2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 — confirmed</w:t>
            </w:r>
          </w:p>
        </w:tc>
        <w:tc>
          <w:tcPr>
            <w:tcW w:type="dxa" w:w="1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1</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10</w:t>
            </w:r>
          </w:p>
        </w:tc>
        <w:tc>
          <w:tcPr>
            <w:tcW w:type="dxa" w:w="2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 Back</w:t>
            </w:r>
          </w:p>
        </w:tc>
        <w:tc>
          <w:tcPr>
            <w:tcW w:type="dxa" w:w="2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Recover &amp; Upgrade</w:t>
            </w:r>
          </w:p>
        </w:tc>
        <w:tc>
          <w:tcPr>
            <w:tcW w:type="dxa" w:w="27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w:t>
            </w:r>
          </w:p>
        </w:tc>
        <w:tc>
          <w:tcPr>
            <w:tcW w:type="dxa" w:w="1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3</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11</w:t>
            </w:r>
          </w:p>
        </w:tc>
        <w:tc>
          <w:tcPr>
            <w:tcW w:type="dxa" w:w="2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Upgrade Path</w:t>
            </w:r>
          </w:p>
        </w:tc>
        <w:tc>
          <w:tcPr>
            <w:tcW w:type="dxa" w:w="2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Recover &amp; Upgrade</w:t>
            </w:r>
          </w:p>
        </w:tc>
        <w:tc>
          <w:tcPr>
            <w:tcW w:type="dxa" w:w="2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Run at launch</w:t>
            </w:r>
          </w:p>
        </w:tc>
        <w:tc>
          <w:tcPr>
            <w:tcW w:type="dxa" w:w="1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3</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12</w:t>
            </w:r>
          </w:p>
        </w:tc>
        <w:tc>
          <w:tcPr>
            <w:tcW w:type="dxa" w:w="2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Smart Replacement</w:t>
            </w:r>
          </w:p>
        </w:tc>
        <w:tc>
          <w:tcPr>
            <w:tcW w:type="dxa" w:w="2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Recover &amp; Upgrade</w:t>
            </w:r>
          </w:p>
        </w:tc>
        <w:tc>
          <w:tcPr>
            <w:tcW w:type="dxa" w:w="27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Partial now; full needs equipment data</w:t>
            </w:r>
          </w:p>
        </w:tc>
        <w:tc>
          <w:tcPr>
            <w:tcW w:type="dxa" w:w="1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3 (proxy)</w:t>
            </w:r>
          </w:p>
        </w:tc>
      </w:tr>
    </w:tbl>
    <w:p>
      <w:r>
        <w:br w:type="page"/>
      </w:r>
    </w:p>
    <w:p>
      <w:pPr>
        <w:pStyle w:val="Heading1"/>
        <w:spacing w:after="160" w:before="320"/>
      </w:pPr>
      <w:r>
        <w:rPr>
          <w:rFonts w:ascii="Cambria" w:cs="Cambria" w:eastAsia="Cambria" w:hAnsi="Cambria"/>
          <w:b/>
          <w:bCs/>
          <w:color w:val="21295C"/>
          <w:sz w:val="32"/>
          <w:szCs w:val="32"/>
        </w:rPr>
        <w:t xml:space="preserve">10. Campaign Designs</w:t>
      </w:r>
    </w:p>
    <w:p>
      <w:pPr>
        <w:spacing w:after="120"/>
      </w:pPr>
      <w:r>
        <w:rPr>
          <w:rFonts w:ascii="Calibri" w:cs="Calibri" w:eastAsia="Calibri" w:hAnsi="Calibri"/>
          <w:color w:val="222222"/>
          <w:sz w:val="22"/>
          <w:szCs w:val="22"/>
        </w:rPr>
        <w:t xml:space="preserve">Each design specifies the trigger signal (computed by the connector), the GHL mechanic, entry/exit/suppression rules, the flow, message-by-message design with sample direction, creative notes, KPIs, and the revenue logic. All sends are dealer-branded; all rules in Section 11 apply globally.</w:t>
      </w:r>
    </w:p>
    <w:p>
      <w:pPr>
        <w:pStyle w:val="Heading2"/>
        <w:spacing w:after="40" w:before="280"/>
      </w:pPr>
      <w:r>
        <w:rPr>
          <w:rFonts w:ascii="Cambria" w:cs="Cambria" w:eastAsia="Cambria" w:hAnsi="Cambria"/>
          <w:b/>
          <w:bCs/>
          <w:color w:val="065A82"/>
          <w:sz w:val="26"/>
          <w:szCs w:val="26"/>
        </w:rPr>
        <w:t xml:space="preserve">Campaign 1: Welcome Splash</w:t>
      </w:r>
    </w:p>
    <w:p>
      <w:pPr>
        <w:spacing w:after="100"/>
      </w:pPr>
      <w:r>
        <w:rPr>
          <w:rFonts w:ascii="Calibri" w:cs="Calibri" w:eastAsia="Calibri" w:hAnsi="Calibri"/>
          <w:b/>
          <w:bCs/>
          <w:color w:val="1C7293"/>
          <w:sz w:val="20"/>
          <w:szCs w:val="20"/>
        </w:rPr>
        <w:t xml:space="preserve">Welcome &amp; Grow</w:t>
      </w:r>
      <w:r>
        <w:rPr>
          <w:rFonts w:ascii="Calibri" w:cs="Calibri" w:eastAsia="Calibri" w:hAnsi="Calibri"/>
          <w:i/>
          <w:iCs/>
          <w:color w:val="5A6B76"/>
          <w:sz w:val="20"/>
          <w:szCs w:val="20"/>
        </w:rPr>
        <w:t xml:space="preserve">   •   Run at launch</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Turn a first purchase into a relationship: capture a Google review at peak happiness, educate the new owner, and open the cross-sell conversation.</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Sync applies the lou-import tag on first write; the workflow admits only contacts with a purchase in the last 7 days (the guard that keeps backfilled history from firing “new customer” sends).</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tag added (lou-import) + purchase-recency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First completed order within 7 days; valid email.</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45 days elapsed, or major_purchase_date set (Campaign 2 takes over).</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Skipped when Major Purchase Nurture claims the contact; SMS steps only fire behind the sms-consent tag.</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Make the purchase feel great; set expectations</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 to the {dealer_name} family, {first_name}” + portal link</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2</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Human check-in; open a reply channel</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“Hi {first_name}, it’s {dealer_name} — how’s everything so far?”</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5</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Review request while satisfaction is highest</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Subject: “How did we do?” — single CTA to Google review</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12</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Owner education keyed to what they bought</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“Your {category} care starter guide”</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21</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Starter accessory bundle; stamps the offer</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“Three things every new {category} owner ends up needing”</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30</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Introduce the service plan</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“The lazy way to keep it perfect all year” + plan math</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Voice: the dealer, first person, warm and local — never “agency” language.</w:t>
      </w:r>
    </w:p>
    <w:p>
      <w:pPr>
        <w:pStyle w:val="ListParagraph"/>
        <w:numPr>
          <w:ilvl w:val="0"/>
          <w:numId w:val="2"/>
        </w:numPr>
        <w:spacing w:after="80"/>
      </w:pPr>
      <w:r>
        <w:rPr>
          <w:rFonts w:ascii="Calibri" w:cs="Calibri" w:eastAsia="Calibri" w:hAnsi="Calibri"/>
          <w:color w:val="222222"/>
          <w:sz w:val="22"/>
          <w:szCs w:val="22"/>
        </w:rPr>
        <w:t xml:space="preserve">Personalization: {first_name}, {dealer_name}, {category}, {lou_portal_url}; the portal link appears in every email footer.</w:t>
      </w:r>
    </w:p>
    <w:p>
      <w:pPr>
        <w:pStyle w:val="ListParagraph"/>
        <w:numPr>
          <w:ilvl w:val="0"/>
          <w:numId w:val="2"/>
        </w:numPr>
        <w:spacing w:after="80"/>
      </w:pPr>
      <w:r>
        <w:rPr>
          <w:rFonts w:ascii="Calibri" w:cs="Calibri" w:eastAsia="Calibri" w:hAnsi="Calibri"/>
          <w:color w:val="222222"/>
          <w:sz w:val="22"/>
          <w:szCs w:val="22"/>
        </w:rPr>
        <w:t xml:space="preserve">One CTA per message. The review email contains nothing else — no offers, no links competing with the review button.</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Review conversion (target 15–25% of new customers)</w:t>
      </w:r>
    </w:p>
    <w:p>
      <w:pPr>
        <w:pStyle w:val="ListParagraph"/>
        <w:numPr>
          <w:ilvl w:val="0"/>
          <w:numId w:val="2"/>
        </w:numPr>
        <w:spacing w:after="80"/>
      </w:pPr>
      <w:r>
        <w:rPr>
          <w:rFonts w:ascii="Calibri" w:cs="Calibri" w:eastAsia="Calibri" w:hAnsi="Calibri"/>
          <w:color w:val="222222"/>
          <w:sz w:val="22"/>
          <w:szCs w:val="22"/>
        </w:rPr>
        <w:t xml:space="preserve">Accessory attach within 45 days</w:t>
      </w:r>
    </w:p>
    <w:p>
      <w:pPr>
        <w:pStyle w:val="ListParagraph"/>
        <w:numPr>
          <w:ilvl w:val="0"/>
          <w:numId w:val="2"/>
        </w:numPr>
        <w:spacing w:after="80"/>
      </w:pPr>
      <w:r>
        <w:rPr>
          <w:rFonts w:ascii="Calibri" w:cs="Calibri" w:eastAsia="Calibri" w:hAnsi="Calibri"/>
          <w:color w:val="222222"/>
          <w:sz w:val="22"/>
          <w:szCs w:val="22"/>
        </w:rPr>
        <w:t xml:space="preserve">Engagement as a list-health signal</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100 new customers/month × 15% attach × $120 average accessory order ≈ $1,800/month prompted revenue, before the compounding value of review velocity.</w:t>
      </w:r>
    </w:p>
    <w:p>
      <w:pPr>
        <w:pStyle w:val="Heading2"/>
        <w:spacing w:after="40" w:before="280"/>
      </w:pPr>
      <w:r>
        <w:rPr>
          <w:rFonts w:ascii="Cambria" w:cs="Cambria" w:eastAsia="Cambria" w:hAnsi="Cambria"/>
          <w:b/>
          <w:bCs/>
          <w:color w:val="065A82"/>
          <w:sz w:val="26"/>
          <w:szCs w:val="26"/>
        </w:rPr>
        <w:t xml:space="preserve">Campaign 2: Major Purchase Nurture</w:t>
      </w:r>
    </w:p>
    <w:p>
      <w:pPr>
        <w:spacing w:after="100"/>
      </w:pPr>
      <w:r>
        <w:rPr>
          <w:rFonts w:ascii="Calibri" w:cs="Calibri" w:eastAsia="Calibri" w:hAnsi="Calibri"/>
          <w:b/>
          <w:bCs/>
          <w:color w:val="1C7293"/>
          <w:sz w:val="20"/>
          <w:szCs w:val="20"/>
        </w:rPr>
        <w:t xml:space="preserve">Welcome &amp; Grow</w:t>
      </w:r>
      <w:r>
        <w:rPr>
          <w:rFonts w:ascii="Calibri" w:cs="Calibri" w:eastAsia="Calibri" w:hAnsi="Calibri"/>
          <w:i/>
          <w:iCs/>
          <w:color w:val="5A6B76"/>
          <w:sz w:val="20"/>
          <w:szCs w:val="20"/>
        </w:rPr>
        <w:t xml:space="preserve">   •   Run at launch</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Give big-ticket buyers a six-month concierge journey that produces an accessory attach, a review, a referral, and a service relationship — the full Karen Miller journey from the engineering spec.</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Sync sets major_purchase_* fields only for lines ≥ $5k or in big-ticket categories (hot tubs, pools, heaters, covers). A threshold gate stops small refill purchases from resetting a nurture in flight.</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field updated (major_purchase_date); copy branches on major_purchase_category.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Big-ticket line lands.</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Day-180 step complete; hands off to the seasonal calendar.</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 Splash is suppressed for these contacts; money-ask caps apply to the Day-14 offer.</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 that names the salesperson; portal link</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“{salesperson} and the whole team say congratulations”</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3</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Care guide branch by category</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“Your first month with your {product_name}”</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14</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Accessory cross-sell bundle (offer stamped)</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Hot tub → start-up chemicals, cover lifter, steps; pool → automation, LED</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30</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Review + referral at the happiness peak</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Review CTA + “give $50, get $50”</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90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First-service reminder</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“Time for your first check-up” + booking link</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180</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Seasonal touch by owns: tag</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Winterization / opening prep depending on season</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Reference the exact product by name — major_purchase_product is the hero of every subject line.</w:t>
      </w:r>
    </w:p>
    <w:p>
      <w:pPr>
        <w:pStyle w:val="ListParagraph"/>
        <w:numPr>
          <w:ilvl w:val="0"/>
          <w:numId w:val="2"/>
        </w:numPr>
        <w:spacing w:after="80"/>
      </w:pPr>
      <w:r>
        <w:rPr>
          <w:rFonts w:ascii="Calibri" w:cs="Calibri" w:eastAsia="Calibri" w:hAnsi="Calibri"/>
          <w:color w:val="222222"/>
          <w:sz w:val="22"/>
          <w:szCs w:val="22"/>
        </w:rPr>
        <w:t xml:space="preserve">Include the salesperson’s name where the dealer allows; it reads as relationship, not marketing.</w:t>
      </w:r>
    </w:p>
    <w:p>
      <w:pPr>
        <w:pStyle w:val="ListParagraph"/>
        <w:numPr>
          <w:ilvl w:val="0"/>
          <w:numId w:val="2"/>
        </w:numPr>
        <w:spacing w:after="80"/>
      </w:pPr>
      <w:r>
        <w:rPr>
          <w:rFonts w:ascii="Calibri" w:cs="Calibri" w:eastAsia="Calibri" w:hAnsi="Calibri"/>
          <w:color w:val="222222"/>
          <w:sz w:val="22"/>
          <w:szCs w:val="22"/>
        </w:rPr>
        <w:t xml:space="preserve">Photography of their category, not stock “happy family” shots.</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Accessory attach rate (attributed opportunities)</w:t>
      </w:r>
    </w:p>
    <w:p>
      <w:pPr>
        <w:pStyle w:val="ListParagraph"/>
        <w:numPr>
          <w:ilvl w:val="0"/>
          <w:numId w:val="2"/>
        </w:numPr>
        <w:spacing w:after="80"/>
      </w:pPr>
      <w:r>
        <w:rPr>
          <w:rFonts w:ascii="Calibri" w:cs="Calibri" w:eastAsia="Calibri" w:hAnsi="Calibri"/>
          <w:color w:val="222222"/>
          <w:sz w:val="22"/>
          <w:szCs w:val="22"/>
        </w:rPr>
        <w:t xml:space="preserve">Review + referral capture from Day 30</w:t>
      </w:r>
    </w:p>
    <w:p>
      <w:pPr>
        <w:pStyle w:val="ListParagraph"/>
        <w:numPr>
          <w:ilvl w:val="0"/>
          <w:numId w:val="2"/>
        </w:numPr>
        <w:spacing w:after="80"/>
      </w:pPr>
      <w:r>
        <w:rPr>
          <w:rFonts w:ascii="Calibri" w:cs="Calibri" w:eastAsia="Calibri" w:hAnsi="Calibri"/>
          <w:color w:val="222222"/>
          <w:sz w:val="22"/>
          <w:szCs w:val="22"/>
        </w:rPr>
        <w:t xml:space="preserve">Service booking rate at Day 90</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Hot tub buyers spend $300–600 on accessories in the first 90 days when prompted — unprompted, most of it goes to Amazon. The Day-90 service booking then seeds the stickiest revenue row: recurring service.</w:t>
      </w:r>
    </w:p>
    <w:p>
      <w:pPr>
        <w:pStyle w:val="Heading2"/>
        <w:spacing w:after="40" w:before="280"/>
      </w:pPr>
      <w:r>
        <w:rPr>
          <w:rFonts w:ascii="Cambria" w:cs="Cambria" w:eastAsia="Cambria" w:hAnsi="Cambria"/>
          <w:b/>
          <w:bCs/>
          <w:color w:val="065A82"/>
          <w:sz w:val="26"/>
          <w:szCs w:val="26"/>
        </w:rPr>
        <w:t xml:space="preserve">Campaign 3: Referral Engine</w:t>
      </w:r>
    </w:p>
    <w:p>
      <w:pPr>
        <w:spacing w:after="100"/>
      </w:pPr>
      <w:r>
        <w:rPr>
          <w:rFonts w:ascii="Calibri" w:cs="Calibri" w:eastAsia="Calibri" w:hAnsi="Calibri"/>
          <w:b/>
          <w:bCs/>
          <w:color w:val="1C7293"/>
          <w:sz w:val="20"/>
          <w:szCs w:val="20"/>
        </w:rPr>
        <w:t xml:space="preserve">Welcome &amp; Grow</w:t>
      </w:r>
      <w:r>
        <w:rPr>
          <w:rFonts w:ascii="Calibri" w:cs="Calibri" w:eastAsia="Calibri" w:hAnsi="Calibri"/>
          <w:i/>
          <w:iCs/>
          <w:color w:val="5A6B76"/>
          <w:sz w:val="20"/>
          <w:szCs w:val="20"/>
        </w:rPr>
        <w:t xml:space="preserve">   •   Run at launch</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Convert the happiest moments (post-purchase, post-service) into new customers at near-zero acquisition cost.</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Fired from the Day-30 step of Campaigns 2 and 4, plus a standing invite to high-LTV contacts (value_tier field).</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workflow step / tag added (referral-invite); referral form fills create source-stamped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Day-30 happiness peak, or value_tier = high.</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Referral submitted, or 14 days.</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Never within 30 days of a service problem (1–3 rating in Campaign 4).</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Two-sided reward invite</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“Give $50, get $50 — know a neighbor with a pool?”</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7</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One-tap share link</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“Your $50 referral credit is waiting — share your link”</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Ongoing</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Task</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Reward fulfillment for dealer staff</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AM checklist item; credit applied in LOU</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Reward amounts are Config values per dealer — AMs set them at onboarding.</w:t>
      </w:r>
    </w:p>
    <w:p>
      <w:pPr>
        <w:pStyle w:val="ListParagraph"/>
        <w:numPr>
          <w:ilvl w:val="0"/>
          <w:numId w:val="2"/>
        </w:numPr>
        <w:spacing w:after="80"/>
      </w:pPr>
      <w:r>
        <w:rPr>
          <w:rFonts w:ascii="Calibri" w:cs="Calibri" w:eastAsia="Calibri" w:hAnsi="Calibri"/>
          <w:color w:val="222222"/>
          <w:sz w:val="22"/>
          <w:szCs w:val="22"/>
        </w:rPr>
        <w:t xml:space="preserve">The share link pre-fills a short form; the referred contact gets the dealer’s welcome, source-stamped for attribution.</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Referral form fills</w:t>
      </w:r>
    </w:p>
    <w:p>
      <w:pPr>
        <w:pStyle w:val="ListParagraph"/>
        <w:numPr>
          <w:ilvl w:val="0"/>
          <w:numId w:val="2"/>
        </w:numPr>
        <w:spacing w:after="80"/>
      </w:pPr>
      <w:r>
        <w:rPr>
          <w:rFonts w:ascii="Calibri" w:cs="Calibri" w:eastAsia="Calibri" w:hAnsi="Calibri"/>
          <w:color w:val="222222"/>
          <w:sz w:val="22"/>
          <w:szCs w:val="22"/>
        </w:rPr>
        <w:t xml:space="preserve">Referred-customer revenue (source-stamped)</w:t>
      </w:r>
    </w:p>
    <w:p>
      <w:pPr>
        <w:pStyle w:val="ListParagraph"/>
        <w:numPr>
          <w:ilvl w:val="0"/>
          <w:numId w:val="2"/>
        </w:numPr>
        <w:spacing w:after="80"/>
      </w:pPr>
      <w:r>
        <w:rPr>
          <w:rFonts w:ascii="Calibri" w:cs="Calibri" w:eastAsia="Calibri" w:hAnsi="Calibri"/>
          <w:color w:val="222222"/>
          <w:sz w:val="22"/>
          <w:szCs w:val="22"/>
        </w:rPr>
        <w:t xml:space="preserve">Cost per referred customer vs. paid channels</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Referred customers close at the highest rate of any source and arrive pre-trusted. Even 2–3 referrals per dealer per month materially changes acquisition economics.</w:t>
      </w:r>
    </w:p>
    <w:p>
      <w:pPr>
        <w:pStyle w:val="Heading2"/>
        <w:spacing w:after="40" w:before="280"/>
      </w:pPr>
      <w:r>
        <w:rPr>
          <w:rFonts w:ascii="Cambria" w:cs="Cambria" w:eastAsia="Cambria" w:hAnsi="Cambria"/>
          <w:b/>
          <w:bCs/>
          <w:color w:val="065A82"/>
          <w:sz w:val="26"/>
          <w:szCs w:val="26"/>
        </w:rPr>
        <w:t xml:space="preserve">Campaign 4: Service Excellence Loop</w:t>
      </w:r>
    </w:p>
    <w:p>
      <w:pPr>
        <w:spacing w:after="100"/>
      </w:pPr>
      <w:r>
        <w:rPr>
          <w:rFonts w:ascii="Calibri" w:cs="Calibri" w:eastAsia="Calibri" w:hAnsi="Calibri"/>
          <w:b/>
          <w:bCs/>
          <w:color w:val="1C7293"/>
          <w:sz w:val="20"/>
          <w:szCs w:val="20"/>
        </w:rPr>
        <w:t xml:space="preserve">Service &amp; Retain</w:t>
      </w:r>
      <w:r>
        <w:rPr>
          <w:rFonts w:ascii="Calibri" w:cs="Calibri" w:eastAsia="Calibri" w:hAnsi="Calibri"/>
          <w:i/>
          <w:iCs/>
          <w:color w:val="5A6B76"/>
          <w:sz w:val="20"/>
          <w:szCs w:val="20"/>
        </w:rPr>
        <w:t xml:space="preserve">   •   Run at launch</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Turn every completed service visit into a five-star review, a rescued detractor, or a maintenance-plan conversion.</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Sync applies service-completed when a work-order invoice lands or a work order’s status flips to Complete (nightly; same-day once Evosus ships push).</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tag added (service-completed); rating reply branches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Completed work order; 30-day re-entry lockout.</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Plan purchased, or 35 days.</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Balance-due outreach takes priority if both fire; referral step skipped after a 1–3 rating.</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0–1</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One-tap satisfaction rating</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“How did we do today? Reply 1–5”</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Branch 4–5</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Review capture</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“Thank you! It’d mean a lot: {review_link}”</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Branch 1–3</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Alert</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Dealer alert + make-it-right</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Instant notification to dealer inbox; template reply to customer</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14</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Maintenance plan offer with plan math</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“What this visit would have cost on a plan: $0”</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30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Referral ask (happy path only)</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Hands off to Campaign 3</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The rating SMS is transactional in tone and clearly from the dealer — highest response rates of anything in the program.</w:t>
      </w:r>
    </w:p>
    <w:p>
      <w:pPr>
        <w:pStyle w:val="ListParagraph"/>
        <w:numPr>
          <w:ilvl w:val="0"/>
          <w:numId w:val="2"/>
        </w:numPr>
        <w:spacing w:after="80"/>
      </w:pPr>
      <w:r>
        <w:rPr>
          <w:rFonts w:ascii="Calibri" w:cs="Calibri" w:eastAsia="Calibri" w:hAnsi="Calibri"/>
          <w:color w:val="222222"/>
          <w:sz w:val="22"/>
          <w:szCs w:val="22"/>
        </w:rPr>
        <w:t xml:space="preserve">Detractor path is a save, not a survey: apology, a human name, a phone number.</w:t>
      </w:r>
    </w:p>
    <w:p>
      <w:pPr>
        <w:pStyle w:val="ListParagraph"/>
        <w:numPr>
          <w:ilvl w:val="0"/>
          <w:numId w:val="2"/>
        </w:numPr>
        <w:spacing w:after="80"/>
      </w:pPr>
      <w:r>
        <w:rPr>
          <w:rFonts w:ascii="Calibri" w:cs="Calibri" w:eastAsia="Calibri" w:hAnsi="Calibri"/>
          <w:color w:val="222222"/>
          <w:sz w:val="22"/>
          <w:szCs w:val="22"/>
        </w:rPr>
        <w:t xml:space="preserve">Plan-math email shows their actual visit price against the plan price.</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Review volume and rating trend</w:t>
      </w:r>
    </w:p>
    <w:p>
      <w:pPr>
        <w:pStyle w:val="ListParagraph"/>
        <w:numPr>
          <w:ilvl w:val="0"/>
          <w:numId w:val="2"/>
        </w:numPr>
        <w:spacing w:after="80"/>
      </w:pPr>
      <w:r>
        <w:rPr>
          <w:rFonts w:ascii="Calibri" w:cs="Calibri" w:eastAsia="Calibri" w:hAnsi="Calibri"/>
          <w:color w:val="222222"/>
          <w:sz w:val="22"/>
          <w:szCs w:val="22"/>
        </w:rPr>
        <w:t xml:space="preserve">Detractors caught before posting publicly</w:t>
      </w:r>
    </w:p>
    <w:p>
      <w:pPr>
        <w:pStyle w:val="ListParagraph"/>
        <w:numPr>
          <w:ilvl w:val="0"/>
          <w:numId w:val="2"/>
        </w:numPr>
        <w:spacing w:after="80"/>
      </w:pPr>
      <w:r>
        <w:rPr>
          <w:rFonts w:ascii="Calibri" w:cs="Calibri" w:eastAsia="Calibri" w:hAnsi="Calibri"/>
          <w:color w:val="222222"/>
          <w:sz w:val="22"/>
          <w:szCs w:val="22"/>
        </w:rPr>
        <w:t xml:space="preserve">Plan conversion (target 5–8% of serviced customers)</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Reviews compound local search rank → more service calls; plans convert one-time calls into recurring monthly revenue — the retention engine row of the dealer’s P&amp;L.</w:t>
      </w:r>
    </w:p>
    <w:p>
      <w:pPr>
        <w:pStyle w:val="Heading2"/>
        <w:spacing w:after="40" w:before="280"/>
      </w:pPr>
      <w:r>
        <w:rPr>
          <w:rFonts w:ascii="Cambria" w:cs="Cambria" w:eastAsia="Cambria" w:hAnsi="Cambria"/>
          <w:b/>
          <w:bCs/>
          <w:color w:val="065A82"/>
          <w:sz w:val="26"/>
          <w:szCs w:val="26"/>
        </w:rPr>
        <w:t xml:space="preserve">Campaign 5: Water Care Autopilot</w:t>
      </w:r>
    </w:p>
    <w:p>
      <w:pPr>
        <w:spacing w:after="100"/>
      </w:pPr>
      <w:r>
        <w:rPr>
          <w:rFonts w:ascii="Calibri" w:cs="Calibri" w:eastAsia="Calibri" w:hAnsi="Calibri"/>
          <w:b/>
          <w:bCs/>
          <w:color w:val="1C7293"/>
          <w:sz w:val="20"/>
          <w:szCs w:val="20"/>
        </w:rPr>
        <w:t xml:space="preserve">Service &amp; Retain</w:t>
      </w:r>
      <w:r>
        <w:rPr>
          <w:rFonts w:ascii="Calibri" w:cs="Calibri" w:eastAsia="Calibri" w:hAnsi="Calibri"/>
          <w:i/>
          <w:iCs/>
          <w:color w:val="5A6B76"/>
          <w:sz w:val="20"/>
          <w:szCs w:val="20"/>
        </w:rPr>
        <w:t xml:space="preserve">   •   Run at launch — lead pilot play</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Capture recurring chemical, filter, and salt spend on each customer’s real depletion cycle — the volume workhorse and the pilot’s anchor demo.</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Connector groups consumable purchases by category, computes an interval per category (sensible default per product class, refined by the customer’s own observed cadence), sets reorder_due_date and the next_offer_* fields, and applies reorder-due + offer-ready on the due date.</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tag added (reorder-due). The connector clears the tag on the next sync after a qualifying purchase — the workflow exits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chemical-buyer tag; opted in; not in another money-ask workflow.</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Category purchase detected (tag cleared), opt-out, or Day 14.</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One money-ask at a time — priority: balance-due, then estimate, then reorder.</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The nudge with the exact product</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“Hi {first_name}, you’re probably getting low on {next_offer_product}. Restock in one tap: {next_offer_url}”</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0–1</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Same offer with detail and bundle</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Product photo, price, one-tap reorder into LOU ecommerce</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4</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Light reminder</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“Still time to restock before the weekend”</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8</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Add an incentive or bundle</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{next_offer_code} + seasonal kit upsell</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14</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Final reminder, then exit</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“Last nudge, promise — {next_offer_url}”</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Name the exact SKU — “your Leisure Time Spa 56 chlorine” beats “chemicals” every time.</w:t>
      </w:r>
    </w:p>
    <w:p>
      <w:pPr>
        <w:pStyle w:val="ListParagraph"/>
        <w:numPr>
          <w:ilvl w:val="0"/>
          <w:numId w:val="2"/>
        </w:numPr>
        <w:spacing w:after="80"/>
      </w:pPr>
      <w:r>
        <w:rPr>
          <w:rFonts w:ascii="Calibri" w:cs="Calibri" w:eastAsia="Calibri" w:hAnsi="Calibri"/>
          <w:color w:val="222222"/>
          <w:sz w:val="22"/>
          <w:szCs w:val="22"/>
        </w:rPr>
        <w:t xml:space="preserve">The reorder link deep-links the dealer’s LOUcommerce cart; store visit is the fallback CTA.</w:t>
      </w:r>
    </w:p>
    <w:p>
      <w:pPr>
        <w:pStyle w:val="ListParagraph"/>
        <w:numPr>
          <w:ilvl w:val="0"/>
          <w:numId w:val="2"/>
        </w:numPr>
        <w:spacing w:after="80"/>
      </w:pPr>
      <w:r>
        <w:rPr>
          <w:rFonts w:ascii="Calibri" w:cs="Calibri" w:eastAsia="Calibri" w:hAnsi="Calibri"/>
          <w:color w:val="222222"/>
          <w:sz w:val="22"/>
          <w:szCs w:val="22"/>
        </w:rPr>
        <w:t xml:space="preserve">Subscription fork (later): triggered nudge now; true auto-ship needs payment handling + LOU write-back — a Phase 3 product decision.</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Reorder conversion rate and revenue per nudge</w:t>
      </w:r>
    </w:p>
    <w:p>
      <w:pPr>
        <w:pStyle w:val="ListParagraph"/>
        <w:numPr>
          <w:ilvl w:val="0"/>
          <w:numId w:val="2"/>
        </w:numPr>
        <w:spacing w:after="80"/>
      </w:pPr>
      <w:r>
        <w:rPr>
          <w:rFonts w:ascii="Calibri" w:cs="Calibri" w:eastAsia="Calibri" w:hAnsi="Calibri"/>
          <w:color w:val="222222"/>
          <w:sz w:val="22"/>
          <w:szCs w:val="22"/>
        </w:rPr>
        <w:t xml:space="preserve">Time-between-purchases compression</w:t>
      </w:r>
    </w:p>
    <w:p>
      <w:pPr>
        <w:pStyle w:val="ListParagraph"/>
        <w:numPr>
          <w:ilvl w:val="0"/>
          <w:numId w:val="2"/>
        </w:numPr>
        <w:spacing w:after="80"/>
      </w:pPr>
      <w:r>
        <w:rPr>
          <w:rFonts w:ascii="Calibri" w:cs="Calibri" w:eastAsia="Calibri" w:hAnsi="Calibri"/>
          <w:color w:val="222222"/>
          <w:sz w:val="22"/>
          <w:szCs w:val="22"/>
        </w:rPr>
        <w:t xml:space="preserve">Interval prediction accuracy (tune per dealer)</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The classic leaky bucket: $400–800/year per customer of consumable spend defaults to Amazon without timely prompts. This play wins on timing, not discounts.</w:t>
      </w:r>
    </w:p>
    <w:p>
      <w:pPr>
        <w:pStyle w:val="Heading2"/>
        <w:spacing w:after="40" w:before="280"/>
      </w:pPr>
      <w:r>
        <w:rPr>
          <w:rFonts w:ascii="Cambria" w:cs="Cambria" w:eastAsia="Cambria" w:hAnsi="Cambria"/>
          <w:b/>
          <w:bCs/>
          <w:color w:val="065A82"/>
          <w:sz w:val="26"/>
          <w:szCs w:val="26"/>
        </w:rPr>
        <w:t xml:space="preserve">Campaign 6: Season Ready</w:t>
      </w:r>
    </w:p>
    <w:p>
      <w:pPr>
        <w:spacing w:after="100"/>
      </w:pPr>
      <w:r>
        <w:rPr>
          <w:rFonts w:ascii="Calibri" w:cs="Calibri" w:eastAsia="Calibri" w:hAnsi="Calibri"/>
          <w:b/>
          <w:bCs/>
          <w:color w:val="1C7293"/>
          <w:sz w:val="20"/>
          <w:szCs w:val="20"/>
        </w:rPr>
        <w:t xml:space="preserve">Service &amp; Retain</w:t>
      </w:r>
      <w:r>
        <w:rPr>
          <w:rFonts w:ascii="Calibri" w:cs="Calibri" w:eastAsia="Calibri" w:hAnsi="Calibri"/>
          <w:i/>
          <w:iCs/>
          <w:color w:val="5A6B76"/>
          <w:sz w:val="20"/>
          <w:szCs w:val="20"/>
        </w:rPr>
        <w:t xml:space="preserve">   •   Run at launch</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Fill the service schedule early, smooth the seasonal curve, and sell the counter-seasonal category (hot water in winter) to the warm-season list.</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Calendar windows segmented by owns:* tags (sync sets owns:{x} from equipment-category purchases). Built once in the master account; the snapshot push loads every dealer’s calendar at once — the network-in-a-day showcase.</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scheduled workflow + segment condition (owns:pool / owns:hot-tub / multi-category).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Segment membership at window open.</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Booking made, or window closes.</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Early-bird pricing steps respect the money-ask cap; plan members get priority-scheduling framing instead of discounts.</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Early spring</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Email+SMS</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Opening early-bird with priority booking</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“Opening slots fill by May — book yours early”</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Late spring</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Chemical stock-up</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Season kit bundle tied to Campaign 5 data</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Mid-summer</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Tune-up / filter clean</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“Mid-season health check”</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Early fall</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Closing + cover inspection</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“Close right, open easy”</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Winter</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Hot water season + wellness gifting</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Hot tub / sauna / cold plunge to the pool list</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Regional calendars — opening windows differ by state; window dates are Config values.</w:t>
      </w:r>
    </w:p>
    <w:p>
      <w:pPr>
        <w:pStyle w:val="ListParagraph"/>
        <w:numPr>
          <w:ilvl w:val="0"/>
          <w:numId w:val="2"/>
        </w:numPr>
        <w:spacing w:after="80"/>
      </w:pPr>
      <w:r>
        <w:rPr>
          <w:rFonts w:ascii="Calibri" w:cs="Calibri" w:eastAsia="Calibri" w:hAnsi="Calibri"/>
          <w:color w:val="222222"/>
          <w:sz w:val="22"/>
          <w:szCs w:val="22"/>
        </w:rPr>
        <w:t xml:space="preserve">The winter beat is a cross-sell, not a discount push: sell the thermal cycle and wellness to people who already trust the dealer.</w:t>
      </w:r>
    </w:p>
    <w:p>
      <w:pPr>
        <w:pStyle w:val="ListParagraph"/>
        <w:numPr>
          <w:ilvl w:val="0"/>
          <w:numId w:val="2"/>
        </w:numPr>
        <w:spacing w:after="80"/>
      </w:pPr>
      <w:r>
        <w:rPr>
          <w:rFonts w:ascii="Calibri" w:cs="Calibri" w:eastAsia="Calibri" w:hAnsi="Calibri"/>
          <w:color w:val="222222"/>
          <w:sz w:val="22"/>
          <w:szCs w:val="22"/>
        </w:rPr>
        <w:t xml:space="preserve">Book-early framing is capacity truth, not fake scarcity — dealers genuinely sell out of slots.</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Openings/closings booked vs. last year, and how many weeks earlier</w:t>
      </w:r>
    </w:p>
    <w:p>
      <w:pPr>
        <w:pStyle w:val="ListParagraph"/>
        <w:numPr>
          <w:ilvl w:val="0"/>
          <w:numId w:val="2"/>
        </w:numPr>
        <w:spacing w:after="80"/>
      </w:pPr>
      <w:r>
        <w:rPr>
          <w:rFonts w:ascii="Calibri" w:cs="Calibri" w:eastAsia="Calibri" w:hAnsi="Calibri"/>
          <w:color w:val="222222"/>
          <w:sz w:val="22"/>
          <w:szCs w:val="22"/>
        </w:rPr>
        <w:t xml:space="preserve">Off-season hot-water attach rate from the pool list</w:t>
      </w:r>
    </w:p>
    <w:p>
      <w:pPr>
        <w:pStyle w:val="ListParagraph"/>
        <w:numPr>
          <w:ilvl w:val="0"/>
          <w:numId w:val="2"/>
        </w:numPr>
        <w:spacing w:after="80"/>
      </w:pPr>
      <w:r>
        <w:rPr>
          <w:rFonts w:ascii="Calibri" w:cs="Calibri" w:eastAsia="Calibri" w:hAnsi="Calibri"/>
          <w:color w:val="222222"/>
          <w:sz w:val="22"/>
          <w:szCs w:val="22"/>
        </w:rPr>
        <w:t xml:space="preserve">Seasonal revenue per segment</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Booking openings 2–4 weeks earlier converts idle shoulder-season capacity into revenue and trims peak-season overtime; the winter cross-sell attacks the dealer’s cash-gap problem directly.</w:t>
      </w:r>
    </w:p>
    <w:p>
      <w:pPr>
        <w:pStyle w:val="Heading2"/>
        <w:spacing w:after="40" w:before="280"/>
      </w:pPr>
      <w:r>
        <w:rPr>
          <w:rFonts w:ascii="Cambria" w:cs="Cambria" w:eastAsia="Cambria" w:hAnsi="Cambria"/>
          <w:b/>
          <w:bCs/>
          <w:color w:val="065A82"/>
          <w:sz w:val="26"/>
          <w:szCs w:val="26"/>
        </w:rPr>
        <w:t xml:space="preserve">Campaign 7: Service Plan &amp; Renewal</w:t>
      </w:r>
    </w:p>
    <w:p>
      <w:pPr>
        <w:spacing w:after="100"/>
      </w:pPr>
      <w:r>
        <w:rPr>
          <w:rFonts w:ascii="Calibri" w:cs="Calibri" w:eastAsia="Calibri" w:hAnsi="Calibri"/>
          <w:b/>
          <w:bCs/>
          <w:color w:val="1C7293"/>
          <w:sz w:val="20"/>
          <w:szCs w:val="20"/>
        </w:rPr>
        <w:t xml:space="preserve">Service &amp; Retain</w:t>
      </w:r>
      <w:r>
        <w:rPr>
          <w:rFonts w:ascii="Calibri" w:cs="Calibri" w:eastAsia="Calibri" w:hAnsi="Calibri"/>
          <w:i/>
          <w:iCs/>
          <w:color w:val="5A6B76"/>
          <w:sz w:val="20"/>
          <w:szCs w:val="20"/>
        </w:rPr>
        <w:t xml:space="preserve">   •   Run at launch</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Renew service contracts and maintenance routes before they lapse — protect the stickiest, highest-LTV revenue row.</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“Recurring Order” source lines in the customer transactions feed identify plan members; the connector tracks the anniversary and applies renewal-window tags at −60 days.</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tag added (renewal-window); at-risk escalation applies a human call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Plan member, anniversary within 60 days.</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Renewal detected in LOU; clock resets.</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No other money-asks during the renewal window — renewal is the priority conversation.</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−60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Renewal notice + year-in-review value recap</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“Your year with us: 9 visits, 2 saves, zero green water”</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−30</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One-tap renewal reminder</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“Your plan renews next month — lock it in”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−7</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Lock-in offer before the season</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Early-renewal perk (priority scheduling)</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Lapsed</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Task</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at-risk tag; human call</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AM/dealer call task with account context</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The value recap is the renewal weapon: real visit counts and outcomes from LOU history, not generic copy.</w:t>
      </w:r>
    </w:p>
    <w:p>
      <w:pPr>
        <w:pStyle w:val="ListParagraph"/>
        <w:numPr>
          <w:ilvl w:val="0"/>
          <w:numId w:val="2"/>
        </w:numPr>
        <w:spacing w:after="80"/>
      </w:pPr>
      <w:r>
        <w:rPr>
          <w:rFonts w:ascii="Calibri" w:cs="Calibri" w:eastAsia="Calibri" w:hAnsi="Calibri"/>
          <w:color w:val="222222"/>
          <w:sz w:val="22"/>
          <w:szCs w:val="22"/>
        </w:rPr>
        <w:t xml:space="preserve">Perks over discounts: priority scheduling and locked rates protect margin.</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Renewal rate; churn saves from the at-risk path</w:t>
      </w:r>
    </w:p>
    <w:p>
      <w:pPr>
        <w:pStyle w:val="ListParagraph"/>
        <w:numPr>
          <w:ilvl w:val="0"/>
          <w:numId w:val="2"/>
        </w:numPr>
        <w:spacing w:after="80"/>
      </w:pPr>
      <w:r>
        <w:rPr>
          <w:rFonts w:ascii="Calibri" w:cs="Calibri" w:eastAsia="Calibri" w:hAnsi="Calibri"/>
          <w:color w:val="222222"/>
          <w:sz w:val="22"/>
          <w:szCs w:val="22"/>
        </w:rPr>
        <w:t xml:space="preserve">Plan-member LTV vs. non-members (the upsell proof for Campaign 4)</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Recurring service is the retention engine — very high LTV and sticky once established. Every point of renewal rate is worth more than most acquisition campaigns combined.</w:t>
      </w:r>
    </w:p>
    <w:p>
      <w:pPr>
        <w:pStyle w:val="Heading2"/>
        <w:spacing w:after="40" w:before="280"/>
      </w:pPr>
      <w:r>
        <w:rPr>
          <w:rFonts w:ascii="Cambria" w:cs="Cambria" w:eastAsia="Cambria" w:hAnsi="Cambria"/>
          <w:b/>
          <w:bCs/>
          <w:color w:val="065A82"/>
          <w:sz w:val="26"/>
          <w:szCs w:val="26"/>
        </w:rPr>
        <w:t xml:space="preserve">Campaign 8: Quote Rescue</w:t>
      </w:r>
    </w:p>
    <w:p>
      <w:pPr>
        <w:spacing w:after="100"/>
      </w:pPr>
      <w:r>
        <w:rPr>
          <w:rFonts w:ascii="Calibri" w:cs="Calibri" w:eastAsia="Calibri" w:hAnsi="Calibri"/>
          <w:b/>
          <w:bCs/>
          <w:color w:val="1C7293"/>
          <w:sz w:val="20"/>
          <w:szCs w:val="20"/>
        </w:rPr>
        <w:t xml:space="preserve">Recover &amp; Upgrade</w:t>
      </w:r>
      <w:r>
        <w:rPr>
          <w:rFonts w:ascii="Calibri" w:cs="Calibri" w:eastAsia="Calibri" w:hAnsi="Calibri"/>
          <w:i/>
          <w:iCs/>
          <w:color w:val="5A6B76"/>
          <w:sz w:val="20"/>
          <w:szCs w:val="20"/>
        </w:rPr>
        <w:t xml:space="preserve">   •   GATED — needs Evosus estimate API (ask #1)</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Convert open estimates into sales before they go cold — the fastest found money in the program, and the campaign Dan himself named.</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Open estimates with id, amount, date, status. Confirmed present inside LOU; NOT exposed by the current API (verified against the full API documentation). This is the sharpest ask to put to Evosus engineering — built and switched off until the endpoint exists.</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Opportunity in the Big-Ticket Sales pipeline at Estimate Sent; workflow on stage entry / estimate-open tag. Won/lost status in LOU moves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Open estimate, not won or lost, opted in.</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Estimate won (→ onboarding journey), lost/declined, call booked, or Day 30 → aged-estimate nurture.</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Money-ask priority: balance-due outranks estimate follow-up if both are active.</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Confirm the estimate, invite questions</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“Your {project} estimate, and a quick question”</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3</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Light personal check-in</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“Any questions on the estimate we sent over?”</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7</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Objection buster</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Financing, timeline, warranty — with proof</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14</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Offer to revise</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“Want us to adjust anything on the quote?”</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21</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Seasonal urgency or financing path</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Install lead times; book-a-call CTA</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30</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Task</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Final touch → aged nurture</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Call task, then long-cycle nurture</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Slower cadence than retail — this is a considered purchase; helpful expert tone, zero pressure clichés.</w:t>
      </w:r>
    </w:p>
    <w:p>
      <w:pPr>
        <w:pStyle w:val="ListParagraph"/>
        <w:numPr>
          <w:ilvl w:val="0"/>
          <w:numId w:val="2"/>
        </w:numPr>
        <w:spacing w:after="80"/>
      </w:pPr>
      <w:r>
        <w:rPr>
          <w:rFonts w:ascii="Calibri" w:cs="Calibri" w:eastAsia="Calibri" w:hAnsi="Calibri"/>
          <w:color w:val="222222"/>
          <w:sz w:val="22"/>
          <w:szCs w:val="22"/>
        </w:rPr>
        <w:t xml:space="preserve">Monthly-payment framing changes the math conversation on $8–15k tickets.</w:t>
      </w:r>
    </w:p>
    <w:p>
      <w:pPr>
        <w:pStyle w:val="ListParagraph"/>
        <w:numPr>
          <w:ilvl w:val="0"/>
          <w:numId w:val="2"/>
        </w:numPr>
        <w:spacing w:after="80"/>
      </w:pPr>
      <w:r>
        <w:rPr>
          <w:rFonts w:ascii="Calibri" w:cs="Calibri" w:eastAsia="Calibri" w:hAnsi="Calibri"/>
          <w:color w:val="222222"/>
          <w:sz w:val="22"/>
          <w:szCs w:val="22"/>
        </w:rPr>
        <w:t xml:space="preserve">Every touch links the estimate document if the API returns a reference.</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Estimate-to-sale conversion lift vs. baseline</w:t>
      </w:r>
    </w:p>
    <w:p>
      <w:pPr>
        <w:pStyle w:val="ListParagraph"/>
        <w:numPr>
          <w:ilvl w:val="0"/>
          <w:numId w:val="2"/>
        </w:numPr>
        <w:spacing w:after="80"/>
      </w:pPr>
      <w:r>
        <w:rPr>
          <w:rFonts w:ascii="Calibri" w:cs="Calibri" w:eastAsia="Calibri" w:hAnsi="Calibri"/>
          <w:color w:val="222222"/>
          <w:sz w:val="22"/>
          <w:szCs w:val="22"/>
        </w:rPr>
        <w:t xml:space="preserve">Recovered revenue per 100 quotes</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On $8,000–$15,000 tickets, recovering even 5% of otherwise-dead quotes typically outearns every other campaign combined. That is why this is Evosus ask #1.</w:t>
      </w:r>
    </w:p>
    <w:p>
      <w:pPr>
        <w:pStyle w:val="Heading2"/>
        <w:spacing w:after="40" w:before="280"/>
      </w:pPr>
      <w:r>
        <w:rPr>
          <w:rFonts w:ascii="Cambria" w:cs="Cambria" w:eastAsia="Cambria" w:hAnsi="Cambria"/>
          <w:b/>
          <w:bCs/>
          <w:color w:val="065A82"/>
          <w:sz w:val="26"/>
          <w:szCs w:val="26"/>
        </w:rPr>
        <w:t xml:space="preserve">Campaign 9: Balance-Due Recovery</w:t>
      </w:r>
    </w:p>
    <w:p>
      <w:pPr>
        <w:spacing w:after="100"/>
      </w:pPr>
      <w:r>
        <w:rPr>
          <w:rFonts w:ascii="Calibri" w:cs="Calibri" w:eastAsia="Calibri" w:hAnsi="Calibri"/>
          <w:b/>
          <w:bCs/>
          <w:color w:val="1C7293"/>
          <w:sz w:val="20"/>
          <w:szCs w:val="20"/>
        </w:rPr>
        <w:t xml:space="preserve">Recover &amp; Upgrade</w:t>
      </w:r>
      <w:r>
        <w:rPr>
          <w:rFonts w:ascii="Calibri" w:cs="Calibri" w:eastAsia="Calibri" w:hAnsi="Calibri"/>
          <w:i/>
          <w:iCs/>
          <w:color w:val="5A6B76"/>
          <w:sz w:val="20"/>
          <w:szCs w:val="20"/>
        </w:rPr>
        <w:t xml:space="preserve">   •   Run at launch — confirmed by API audit</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Recover outstanding balances with a helpful tone — found money with zero acquisition cost.</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GET /customers/{id} returns customerBalanceDue and customerPortalURL — confirmed in the API documentation, so this play runs on existing endpoints. Connector applies balance-due above a small threshold and clears it when the balance returns to zero.</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tag added (balance-due). Optional intra-day refresh shortens the pay-to-stop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Balance above threshold; opted in.</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Balance zero (tag cleared), payment made, or Day 18 → human hand-off.</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Highest money-ask priority; never runs alongside offers. Nightly-latency guard suppresses the next send if a payment posted overnight.</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Friendly reminder + portal pay link</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 quick note — your account shows {lou_balance_due}. Take care of it anytime: {lou_portal_url}”</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4</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Short reminder</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“Friendly reminder from {dealer_name} — pay link: {lou_portal_url}”</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Help + payment options</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 person to call; payment plan option</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18</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Task</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Final SMS, then human hand-off</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No infinite loops — a person takes over</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Helpful, never collections-toned: these are the dealer’s own customers.</w:t>
      </w:r>
    </w:p>
    <w:p>
      <w:pPr>
        <w:pStyle w:val="ListParagraph"/>
        <w:numPr>
          <w:ilvl w:val="0"/>
          <w:numId w:val="2"/>
        </w:numPr>
        <w:spacing w:after="80"/>
      </w:pPr>
      <w:r>
        <w:rPr>
          <w:rFonts w:ascii="Calibri" w:cs="Calibri" w:eastAsia="Calibri" w:hAnsi="Calibri"/>
          <w:color w:val="222222"/>
          <w:sz w:val="22"/>
          <w:szCs w:val="22"/>
        </w:rPr>
        <w:t xml:space="preserve">Never put payment data in a message — the LOU customer portal is the only payment surface.</w:t>
      </w:r>
    </w:p>
    <w:p>
      <w:pPr>
        <w:pStyle w:val="ListParagraph"/>
        <w:numPr>
          <w:ilvl w:val="0"/>
          <w:numId w:val="2"/>
        </w:numPr>
        <w:spacing w:after="80"/>
      </w:pPr>
      <w:r>
        <w:rPr>
          <w:rFonts w:ascii="Calibri" w:cs="Calibri" w:eastAsia="Calibri" w:hAnsi="Calibri"/>
          <w:color w:val="222222"/>
          <w:sz w:val="22"/>
          <w:szCs w:val="22"/>
        </w:rPr>
        <w:t xml:space="preserve">Amounts render exactly as LOU reports them.</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Recovery rate and days-to-payment</w:t>
      </w:r>
    </w:p>
    <w:p>
      <w:pPr>
        <w:pStyle w:val="ListParagraph"/>
        <w:numPr>
          <w:ilvl w:val="0"/>
          <w:numId w:val="2"/>
        </w:numPr>
        <w:spacing w:after="80"/>
      </w:pPr>
      <w:r>
        <w:rPr>
          <w:rFonts w:ascii="Calibri" w:cs="Calibri" w:eastAsia="Calibri" w:hAnsi="Calibri"/>
          <w:color w:val="222222"/>
          <w:sz w:val="22"/>
          <w:szCs w:val="22"/>
        </w:rPr>
        <w:t xml:space="preserve">Recovered dollars per month (pure found money)</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Every dealer carries an AR tail. Recovering it costs nothing but these sends — the fastest visible win in the first 30 days of a pilot, which is why it launches in wave 1.</w:t>
      </w:r>
    </w:p>
    <w:p>
      <w:pPr>
        <w:pStyle w:val="Heading2"/>
        <w:spacing w:after="40" w:before="280"/>
      </w:pPr>
      <w:r>
        <w:rPr>
          <w:rFonts w:ascii="Cambria" w:cs="Cambria" w:eastAsia="Cambria" w:hAnsi="Cambria"/>
          <w:b/>
          <w:bCs/>
          <w:color w:val="065A82"/>
          <w:sz w:val="26"/>
          <w:szCs w:val="26"/>
        </w:rPr>
        <w:t xml:space="preserve">Campaign 10: Welcome Back</w:t>
      </w:r>
    </w:p>
    <w:p>
      <w:pPr>
        <w:spacing w:after="100"/>
      </w:pPr>
      <w:r>
        <w:rPr>
          <w:rFonts w:ascii="Calibri" w:cs="Calibri" w:eastAsia="Calibri" w:hAnsi="Calibri"/>
          <w:b/>
          <w:bCs/>
          <w:color w:val="1C7293"/>
          <w:sz w:val="20"/>
          <w:szCs w:val="20"/>
        </w:rPr>
        <w:t xml:space="preserve">Recover &amp; Upgrade</w:t>
      </w:r>
      <w:r>
        <w:rPr>
          <w:rFonts w:ascii="Calibri" w:cs="Calibri" w:eastAsia="Calibri" w:hAnsi="Calibri"/>
          <w:i/>
          <w:iCs/>
          <w:color w:val="5A6B76"/>
          <w:sz w:val="20"/>
          <w:szCs w:val="20"/>
        </w:rPr>
        <w:t xml:space="preserve">   •   Run at launch</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Reactivate dormant customers before they quietly defect.</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Connector flags lapsed at last_purchase_date + 12 months, escalates at 15 months; any new purchase updates the date and disarms the trigger permanently for that cycle.</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tag added (lapsed).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No completed order in 12 months; excludes open quotes and recent service.</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Any purchase (disarmed), opt-out, or sequence end.</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Money-ask cap applies; skip if balance-due is active (fix the relationship before marketing to it).</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0</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 miss you + free water test</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“It’s been a while — your water’s missed us”</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7</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SMS</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Comeback offer</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“Welcome-back offer inside — book in one tap”</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21</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One-question feedback ask</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“Did we do something wrong?” — single-question reply</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15 months</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Escalated incentive</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Stronger offer; last scheduled attempt</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Lead with service (free water test), not discount — it drives a store visit and a diagnostic conversation.</w:t>
      </w:r>
    </w:p>
    <w:p>
      <w:pPr>
        <w:pStyle w:val="ListParagraph"/>
        <w:numPr>
          <w:ilvl w:val="0"/>
          <w:numId w:val="2"/>
        </w:numPr>
        <w:spacing w:after="80"/>
      </w:pPr>
      <w:r>
        <w:rPr>
          <w:rFonts w:ascii="Calibri" w:cs="Calibri" w:eastAsia="Calibri" w:hAnsi="Calibri"/>
          <w:color w:val="222222"/>
          <w:sz w:val="22"/>
          <w:szCs w:val="22"/>
        </w:rPr>
        <w:t xml:space="preserve">The feedback ask converts silent churners into intel; replies route to the dealer inbox.</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Reactivation rate (target 3–5% of the dormant file)</w:t>
      </w:r>
    </w:p>
    <w:p>
      <w:pPr>
        <w:pStyle w:val="ListParagraph"/>
        <w:numPr>
          <w:ilvl w:val="0"/>
          <w:numId w:val="2"/>
        </w:numPr>
        <w:spacing w:after="80"/>
      </w:pPr>
      <w:r>
        <w:rPr>
          <w:rFonts w:ascii="Calibri" w:cs="Calibri" w:eastAsia="Calibri" w:hAnsi="Calibri"/>
          <w:color w:val="222222"/>
          <w:sz w:val="22"/>
          <w:szCs w:val="22"/>
        </w:rPr>
        <w:t xml:space="preserve">Win-back revenue per run</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2,000 dormant contacts × 4% × $250 average order ≈ $20,000 recovered — from customers already acquired and paid for.</w:t>
      </w:r>
    </w:p>
    <w:p>
      <w:pPr>
        <w:pStyle w:val="Heading2"/>
        <w:spacing w:after="40" w:before="280"/>
      </w:pPr>
      <w:r>
        <w:rPr>
          <w:rFonts w:ascii="Cambria" w:cs="Cambria" w:eastAsia="Cambria" w:hAnsi="Cambria"/>
          <w:b/>
          <w:bCs/>
          <w:color w:val="065A82"/>
          <w:sz w:val="26"/>
          <w:szCs w:val="26"/>
        </w:rPr>
        <w:t xml:space="preserve">Campaign 11: Upgrade Path</w:t>
      </w:r>
    </w:p>
    <w:p>
      <w:pPr>
        <w:spacing w:after="100"/>
      </w:pPr>
      <w:r>
        <w:rPr>
          <w:rFonts w:ascii="Calibri" w:cs="Calibri" w:eastAsia="Calibri" w:hAnsi="Calibri"/>
          <w:b/>
          <w:bCs/>
          <w:color w:val="1C7293"/>
          <w:sz w:val="20"/>
          <w:szCs w:val="20"/>
        </w:rPr>
        <w:t xml:space="preserve">Recover &amp; Upgrade</w:t>
      </w:r>
      <w:r>
        <w:rPr>
          <w:rFonts w:ascii="Calibri" w:cs="Calibri" w:eastAsia="Calibri" w:hAnsi="Calibri"/>
          <w:i/>
          <w:iCs/>
          <w:color w:val="5A6B76"/>
          <w:sz w:val="20"/>
          <w:szCs w:val="20"/>
        </w:rPr>
        <w:t xml:space="preserve">   •   Run at launch</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Move service-only relationships into the showroom by turning repair patterns into replacement conversations.</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Connector flags contacts with work orders but no sale orders, and repeat repairs against the same category (2+ work orders, same skuCategory, 18 months).</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tag added (upgrade-candidate); showroom bookings create opportunities in the Big-Ticket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Service-only or repeat-repair pattern.</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Showroom appointment booked (opportunity created), or 30 days → seasonal re-entry.</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Not within 14 days of an open service issue.</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After 2nd repair</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Repair-vs-replace math</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“You’ve spent {repair_total} on that {category} — here’s the other path”</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10</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Efficiency story</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Variable-speed pumps, heat pumps, smart automation — energy math</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Seasonal</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Email+SMS</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Trade-in / upgrade event</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“Trade-in weekend: your repair receipts count as credit”</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Use their actual repair spend where available — the math is the message.</w:t>
      </w:r>
    </w:p>
    <w:p>
      <w:pPr>
        <w:pStyle w:val="ListParagraph"/>
        <w:numPr>
          <w:ilvl w:val="0"/>
          <w:numId w:val="2"/>
        </w:numPr>
        <w:spacing w:after="80"/>
      </w:pPr>
      <w:r>
        <w:rPr>
          <w:rFonts w:ascii="Calibri" w:cs="Calibri" w:eastAsia="Calibri" w:hAnsi="Calibri"/>
          <w:color w:val="222222"/>
          <w:sz w:val="22"/>
          <w:szCs w:val="22"/>
        </w:rPr>
        <w:t xml:space="preserve">Position the dealer as advisor: “we’ll keep fixing it if you want — here’s what we’d do.”</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Showroom appointments from service-only customers</w:t>
      </w:r>
    </w:p>
    <w:p>
      <w:pPr>
        <w:pStyle w:val="ListParagraph"/>
        <w:numPr>
          <w:ilvl w:val="0"/>
          <w:numId w:val="2"/>
        </w:numPr>
        <w:spacing w:after="80"/>
      </w:pPr>
      <w:r>
        <w:rPr>
          <w:rFonts w:ascii="Calibri" w:cs="Calibri" w:eastAsia="Calibri" w:hAnsi="Calibri"/>
          <w:color w:val="222222"/>
          <w:sz w:val="22"/>
          <w:szCs w:val="22"/>
        </w:rPr>
        <w:t xml:space="preserve">Retail conversion of the service-only segment</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Service-only customers are pre-qualified, high-trust retail buyers — the cheapest showroom traffic a dealer can get.</w:t>
      </w:r>
    </w:p>
    <w:p>
      <w:pPr>
        <w:pStyle w:val="Heading2"/>
        <w:spacing w:after="40" w:before="280"/>
      </w:pPr>
      <w:r>
        <w:rPr>
          <w:rFonts w:ascii="Cambria" w:cs="Cambria" w:eastAsia="Cambria" w:hAnsi="Cambria"/>
          <w:b/>
          <w:bCs/>
          <w:color w:val="065A82"/>
          <w:sz w:val="26"/>
          <w:szCs w:val="26"/>
        </w:rPr>
        <w:t xml:space="preserve">Campaign 12: Smart Replacement</w:t>
      </w:r>
    </w:p>
    <w:p>
      <w:pPr>
        <w:spacing w:after="100"/>
      </w:pPr>
      <w:r>
        <w:rPr>
          <w:rFonts w:ascii="Calibri" w:cs="Calibri" w:eastAsia="Calibri" w:hAnsi="Calibri"/>
          <w:b/>
          <w:bCs/>
          <w:color w:val="1C7293"/>
          <w:sz w:val="20"/>
          <w:szCs w:val="20"/>
        </w:rPr>
        <w:t xml:space="preserve">Recover &amp; Upgrade</w:t>
      </w:r>
      <w:r>
        <w:rPr>
          <w:rFonts w:ascii="Calibri" w:cs="Calibri" w:eastAsia="Calibri" w:hAnsi="Calibri"/>
          <w:i/>
          <w:iCs/>
          <w:color w:val="5A6B76"/>
          <w:sz w:val="20"/>
          <w:szCs w:val="20"/>
        </w:rPr>
        <w:t xml:space="preserve">   •   Partial now — full version needs equipment data (ask #4)</w:t>
      </w:r>
    </w:p>
    <w:p>
      <w:pPr>
        <w:spacing w:after="120"/>
      </w:pPr>
      <w:r>
        <w:rPr>
          <w:rFonts w:ascii="Calibri" w:cs="Calibri" w:eastAsia="Calibri" w:hAnsi="Calibri"/>
          <w:b/>
          <w:bCs/>
          <w:color w:val="222222"/>
          <w:sz w:val="22"/>
          <w:szCs w:val="22"/>
        </w:rPr>
        <w:t xml:space="preserve">Objective. </w:t>
      </w:r>
      <w:r>
        <w:rPr>
          <w:rFonts w:ascii="Calibri" w:cs="Calibri" w:eastAsia="Calibri" w:hAnsi="Calibri"/>
          <w:color w:val="222222"/>
          <w:sz w:val="22"/>
          <w:szCs w:val="22"/>
        </w:rPr>
        <w:t xml:space="preserve">Sell planned replacements before equipment fails — converting emergency calls into scheduled, higher-margin projects.</w:t>
      </w:r>
    </w:p>
    <w:p>
      <w:pPr>
        <w:spacing w:after="120"/>
      </w:pPr>
      <w:r>
        <w:rPr>
          <w:rFonts w:ascii="Calibri" w:cs="Calibri" w:eastAsia="Calibri" w:hAnsi="Calibri"/>
          <w:b/>
          <w:bCs/>
          <w:color w:val="222222"/>
          <w:sz w:val="22"/>
          <w:szCs w:val="22"/>
        </w:rPr>
        <w:t xml:space="preserve">Signal (connector). </w:t>
      </w:r>
      <w:r>
        <w:rPr>
          <w:rFonts w:ascii="Calibri" w:cs="Calibri" w:eastAsia="Calibri" w:hAnsi="Calibri"/>
          <w:color w:val="222222"/>
          <w:sz w:val="22"/>
          <w:szCs w:val="22"/>
        </w:rPr>
        <w:t xml:space="preserve">Near-term proxy: owns:{equipment} tag + last_{category}_purchase aging past typical life (heaters ~5yr) — runs on line history alone. Full version: an Equipment/Asset object with install_date and warranty_expiry, fed by an equipment read endpoint (LOU tracks equipment internally; the API doesn’t expose a per-customer registry yet).</w:t>
      </w:r>
    </w:p>
    <w:p>
      <w:pPr>
        <w:spacing w:after="120"/>
      </w:pPr>
      <w:r>
        <w:rPr>
          <w:rFonts w:ascii="Calibri" w:cs="Calibri" w:eastAsia="Calibri" w:hAnsi="Calibri"/>
          <w:b/>
          <w:bCs/>
          <w:color w:val="222222"/>
          <w:sz w:val="22"/>
          <w:szCs w:val="22"/>
        </w:rPr>
        <w:t xml:space="preserve">Mechanic (GHL). </w:t>
      </w:r>
      <w:r>
        <w:rPr>
          <w:rFonts w:ascii="Calibri" w:cs="Calibri" w:eastAsia="Calibri" w:hAnsi="Calibri"/>
          <w:color w:val="222222"/>
          <w:sz w:val="22"/>
          <w:szCs w:val="22"/>
        </w:rPr>
        <w:t xml:space="preserve">GHL trigger: date-offset on last_{category}_purchase; later, asset-record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Entry</w:t>
            </w:r>
          </w:p>
        </w:tc>
        <w:tc>
          <w:tcPr>
            <w:tcW w:type="dxa" w:w="320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Exit</w:t>
            </w:r>
          </w:p>
        </w:tc>
        <w:tc>
          <w:tcPr>
            <w:tcW w:type="dxa" w:w="3260"/>
            <w:shd w:fill="1C7293"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Suppression</w:t>
            </w:r>
          </w:p>
        </w:tc>
      </w:tr>
      <w:tr>
        <w:tc>
          <w:tcPr>
            <w:tcW w:type="dxa" w:w="2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Equipment age enters the replacement window.</w:t>
            </w:r>
          </w:p>
        </w:tc>
        <w:tc>
          <w:tcPr>
            <w:tcW w:type="dxa" w:w="3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Replacement purchased, or annual re-arm.</w:t>
            </w:r>
          </w:p>
        </w:tc>
        <w:tc>
          <w:tcPr>
            <w:tcW w:type="dxa" w:w="32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Money-ask cap; seasonal timing preferred (pre-season inspection windows).</w:t>
            </w:r>
          </w:p>
        </w:tc>
      </w:tr>
    </w:tbl>
    <w:p>
      <w:pPr>
        <w:spacing w:after="100"/>
      </w:pPr>
    </w:p>
    <w:p>
      <w:pPr>
        <w:spacing w:after="40"/>
      </w:pPr>
      <w:r>
        <w:rPr>
          <w:rFonts w:ascii="Calibri" w:cs="Calibri" w:eastAsia="Calibri" w:hAnsi="Calibri"/>
          <w:b/>
          <w:bCs/>
          <w:color w:val="222222"/>
          <w:sz w:val="22"/>
          <w:szCs w:val="22"/>
        </w:rPr>
        <w:t xml:space="preserve">Flow design</w:t>
      </w:r>
    </w:p>
    <w:p>
      <w:pPr>
        <w:spacing w:after="120" w:before="60"/>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714500"/>
                    </a:xfrm>
                    <a:prstGeom prst="rect">
                      <a:avLst/>
                    </a:prstGeom>
                  </pic:spPr>
                </pic:pic>
              </a:graphicData>
            </a:graphic>
          </wp:inline>
        </w:drawing>
      </w:r>
    </w:p>
    <w:p>
      <w:pPr>
        <w:spacing w:after="60"/>
      </w:pPr>
      <w:r>
        <w:rPr>
          <w:rFonts w:ascii="Calibri" w:cs="Calibri" w:eastAsia="Calibri" w:hAnsi="Calibri"/>
          <w:b/>
          <w:bCs/>
          <w:color w:val="222222"/>
          <w:sz w:val="22"/>
          <w:szCs w:val="22"/>
        </w:rPr>
        <w:t xml:space="preserve">Message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860"/>
        <w:gridCol w:w="4200"/>
      </w:tblGrid>
      <w:tr>
        <w:trPr>
          <w:tblHeader/>
        </w:trPr>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Timing</w:t>
            </w:r>
          </w:p>
        </w:tc>
        <w:tc>
          <w:tcPr>
            <w:tcW w:type="dxa" w:w="115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Channel</w:t>
            </w:r>
          </w:p>
        </w:tc>
        <w:tc>
          <w:tcPr>
            <w:tcW w:type="dxa" w:w="2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Job of the message</w:t>
            </w:r>
          </w:p>
        </w:tc>
        <w:tc>
          <w:tcPr>
            <w:tcW w:type="dxa" w:w="42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Sample direction</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Window open</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Replacement-window heads-up + inspection offer</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“Your heater is entering its typical replacement years”</w:t>
            </w:r>
          </w:p>
        </w:tc>
      </w:tr>
      <w:tr>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Pre-season</w:t>
            </w:r>
          </w:p>
        </w:tc>
        <w:tc>
          <w:tcPr>
            <w:tcW w:type="dxa" w:w="115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Replace-now-vs-fail-in-July framing</w:t>
            </w:r>
          </w:p>
        </w:tc>
        <w:tc>
          <w:tcPr>
            <w:tcW w:type="dxa" w:w="42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Current lead times; loyalty pricing for service history</w:t>
            </w:r>
          </w:p>
        </w:tc>
      </w:tr>
      <w:tr>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Warranty end</w:t>
            </w:r>
          </w:p>
        </w:tc>
        <w:tc>
          <w:tcPr>
            <w:tcW w:type="dxa" w:w="115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w:t>
            </w:r>
          </w:p>
        </w:tc>
        <w:tc>
          <w:tcPr>
            <w:tcW w:type="dxa" w:w="2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Warranty-expiry touchpoint</w:t>
            </w:r>
          </w:p>
        </w:tc>
        <w:tc>
          <w:tcPr>
            <w:tcW w:type="dxa" w:w="42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“Before your warranty ends, two things worth checking”</w:t>
            </w:r>
          </w:p>
        </w:tc>
      </w:tr>
    </w:tbl>
    <w:p>
      <w:pPr>
        <w:spacing w:after="100"/>
      </w:pPr>
    </w:p>
    <w:p>
      <w:pPr>
        <w:spacing w:after="60"/>
      </w:pPr>
      <w:r>
        <w:rPr>
          <w:rFonts w:ascii="Calibri" w:cs="Calibri" w:eastAsia="Calibri" w:hAnsi="Calibri"/>
          <w:b/>
          <w:bCs/>
          <w:color w:val="222222"/>
          <w:sz w:val="22"/>
          <w:szCs w:val="22"/>
        </w:rPr>
        <w:t xml:space="preserve">Creative direction</w:t>
      </w:r>
    </w:p>
    <w:p>
      <w:pPr>
        <w:pStyle w:val="ListParagraph"/>
        <w:numPr>
          <w:ilvl w:val="0"/>
          <w:numId w:val="2"/>
        </w:numPr>
        <w:spacing w:after="80"/>
      </w:pPr>
      <w:r>
        <w:rPr>
          <w:rFonts w:ascii="Calibri" w:cs="Calibri" w:eastAsia="Calibri" w:hAnsi="Calibri"/>
          <w:color w:val="222222"/>
          <w:sz w:val="22"/>
          <w:szCs w:val="22"/>
        </w:rPr>
        <w:t xml:space="preserve">Educational, not alarmist — the dealer as the one who warned you before July.</w:t>
      </w:r>
    </w:p>
    <w:p>
      <w:pPr>
        <w:pStyle w:val="ListParagraph"/>
        <w:numPr>
          <w:ilvl w:val="0"/>
          <w:numId w:val="2"/>
        </w:numPr>
        <w:spacing w:after="80"/>
      </w:pPr>
      <w:r>
        <w:rPr>
          <w:rFonts w:ascii="Calibri" w:cs="Calibri" w:eastAsia="Calibri" w:hAnsi="Calibri"/>
          <w:color w:val="222222"/>
          <w:sz w:val="22"/>
          <w:szCs w:val="22"/>
        </w:rPr>
        <w:t xml:space="preserve">Loyalty pricing framing rewards service history; ties to Campaign 7 membership.</w:t>
      </w:r>
    </w:p>
    <w:p>
      <w:pPr>
        <w:spacing w:after="60"/>
      </w:pPr>
      <w:r>
        <w:rPr>
          <w:rFonts w:ascii="Calibri" w:cs="Calibri" w:eastAsia="Calibri" w:hAnsi="Calibri"/>
          <w:b/>
          <w:bCs/>
          <w:color w:val="222222"/>
          <w:sz w:val="22"/>
          <w:szCs w:val="22"/>
        </w:rPr>
        <w:t xml:space="preserve">KPIs</w:t>
      </w:r>
    </w:p>
    <w:p>
      <w:pPr>
        <w:pStyle w:val="ListParagraph"/>
        <w:numPr>
          <w:ilvl w:val="0"/>
          <w:numId w:val="2"/>
        </w:numPr>
        <w:spacing w:after="80"/>
      </w:pPr>
      <w:r>
        <w:rPr>
          <w:rFonts w:ascii="Calibri" w:cs="Calibri" w:eastAsia="Calibri" w:hAnsi="Calibri"/>
          <w:color w:val="222222"/>
          <w:sz w:val="22"/>
          <w:szCs w:val="22"/>
        </w:rPr>
        <w:t xml:space="preserve">Planned-replacement revenue</w:t>
      </w:r>
    </w:p>
    <w:p>
      <w:pPr>
        <w:pStyle w:val="ListParagraph"/>
        <w:numPr>
          <w:ilvl w:val="0"/>
          <w:numId w:val="2"/>
        </w:numPr>
        <w:spacing w:after="80"/>
      </w:pPr>
      <w:r>
        <w:rPr>
          <w:rFonts w:ascii="Calibri" w:cs="Calibri" w:eastAsia="Calibri" w:hAnsi="Calibri"/>
          <w:color w:val="222222"/>
          <w:sz w:val="22"/>
          <w:szCs w:val="22"/>
        </w:rPr>
        <w:t xml:space="preserve">Emergency-call reduction among enrolled customers</w:t>
      </w:r>
    </w:p>
    <w:p>
      <w:pPr>
        <w:spacing w:after="200"/>
      </w:pPr>
      <w:r>
        <w:rPr>
          <w:rFonts w:ascii="Calibri" w:cs="Calibri" w:eastAsia="Calibri" w:hAnsi="Calibri"/>
          <w:b/>
          <w:bCs/>
          <w:color w:val="21295C"/>
          <w:sz w:val="22"/>
          <w:szCs w:val="22"/>
        </w:rPr>
        <w:t xml:space="preserve">Why it pays. </w:t>
      </w:r>
      <w:r>
        <w:rPr>
          <w:rFonts w:ascii="Calibri" w:cs="Calibri" w:eastAsia="Calibri" w:hAnsi="Calibri"/>
          <w:i/>
          <w:iCs/>
          <w:color w:val="222222"/>
          <w:sz w:val="22"/>
          <w:szCs w:val="22"/>
        </w:rPr>
        <w:t xml:space="preserve">Planned replacements carry better margin, better scheduling, and better experience than failures — and the full version showcases exactly why Evosus should ship equipment data.</w:t>
      </w:r>
    </w:p>
    <w:p>
      <w:r>
        <w:br w:type="page"/>
      </w:r>
    </w:p>
    <w:p>
      <w:pPr>
        <w:pStyle w:val="Heading1"/>
        <w:spacing w:after="160" w:before="320"/>
      </w:pPr>
      <w:r>
        <w:rPr>
          <w:rFonts w:ascii="Cambria" w:cs="Cambria" w:eastAsia="Cambria" w:hAnsi="Cambria"/>
          <w:b/>
          <w:bCs/>
          <w:color w:val="21295C"/>
          <w:sz w:val="32"/>
          <w:szCs w:val="32"/>
        </w:rPr>
        <w:t xml:space="preserve">11. Orchestration &amp; Guardrails — the Traffic Control Layer</w:t>
      </w:r>
    </w:p>
    <w:p>
      <w:pPr>
        <w:spacing w:after="120"/>
      </w:pPr>
      <w:r>
        <w:rPr>
          <w:rFonts w:ascii="Calibri" w:cs="Calibri" w:eastAsia="Calibri" w:hAnsi="Calibri"/>
          <w:color w:val="222222"/>
          <w:sz w:val="22"/>
          <w:szCs w:val="22"/>
        </w:rPr>
        <w:t xml:space="preserve">Twelve campaigns against one customer base collide without rules. These are global, enforced by connector logic plus workflow conditions:</w:t>
      </w:r>
    </w:p>
    <w:p>
      <w:pPr>
        <w:pStyle w:val="ListParagraph"/>
        <w:numPr>
          <w:ilvl w:val="0"/>
          <w:numId w:val="2"/>
        </w:numPr>
        <w:spacing w:after="80"/>
      </w:pPr>
      <w:r>
        <w:rPr>
          <w:rFonts w:ascii="Calibri" w:cs="Calibri" w:eastAsia="Calibri" w:hAnsi="Calibri"/>
          <w:b/>
          <w:bCs/>
          <w:color w:val="222222"/>
          <w:sz w:val="22"/>
          <w:szCs w:val="22"/>
        </w:rPr>
        <w:t xml:space="preserve">One money-ask at a time. </w:t>
      </w:r>
      <w:r>
        <w:rPr>
          <w:rFonts w:ascii="Calibri" w:cs="Calibri" w:eastAsia="Calibri" w:hAnsi="Calibri"/>
          <w:color w:val="222222"/>
          <w:sz w:val="22"/>
          <w:szCs w:val="22"/>
        </w:rPr>
        <w:t xml:space="preserve">A contact is in at most one revenue-asking workflow. Priority when signals collide: balance-due → estimate → renewal → reorder → other offers.</w:t>
      </w:r>
    </w:p>
    <w:p>
      <w:pPr>
        <w:pStyle w:val="ListParagraph"/>
        <w:numPr>
          <w:ilvl w:val="0"/>
          <w:numId w:val="2"/>
        </w:numPr>
        <w:spacing w:after="80"/>
      </w:pPr>
      <w:r>
        <w:rPr>
          <w:rFonts w:ascii="Calibri" w:cs="Calibri" w:eastAsia="Calibri" w:hAnsi="Calibri"/>
          <w:b/>
          <w:bCs/>
          <w:color w:val="222222"/>
          <w:sz w:val="22"/>
          <w:szCs w:val="22"/>
        </w:rPr>
        <w:t xml:space="preserve">Consent posture: email-first everywhere; SMS only behind the sms-consent tag. </w:t>
      </w:r>
      <w:r>
        <w:rPr>
          <w:rFonts w:ascii="Calibri" w:cs="Calibri" w:eastAsia="Calibri" w:hAnsi="Calibri"/>
          <w:color w:val="222222"/>
          <w:sz w:val="22"/>
          <w:szCs w:val="22"/>
        </w:rPr>
        <w:t xml:space="preserve">One sloppy dealer list is an Evosus-brand problem, not just an SSP problem. STOP and unsubscribe are honored globally per dealer.</w:t>
      </w:r>
    </w:p>
    <w:p>
      <w:pPr>
        <w:pStyle w:val="ListParagraph"/>
        <w:numPr>
          <w:ilvl w:val="0"/>
          <w:numId w:val="2"/>
        </w:numPr>
        <w:spacing w:after="80"/>
      </w:pPr>
      <w:r>
        <w:rPr>
          <w:rFonts w:ascii="Calibri" w:cs="Calibri" w:eastAsia="Calibri" w:hAnsi="Calibri"/>
          <w:b/>
          <w:bCs/>
          <w:color w:val="222222"/>
          <w:sz w:val="22"/>
          <w:szCs w:val="22"/>
        </w:rPr>
        <w:t xml:space="preserve">Quiet hours: </w:t>
      </w:r>
      <w:r>
        <w:rPr>
          <w:rFonts w:ascii="Calibri" w:cs="Calibri" w:eastAsia="Calibri" w:hAnsi="Calibri"/>
          <w:color w:val="222222"/>
          <w:sz w:val="22"/>
          <w:szCs w:val="22"/>
        </w:rPr>
        <w:t xml:space="preserve">no SMS before 8am or after 8pm in the contact’s local time.</w:t>
      </w:r>
    </w:p>
    <w:p>
      <w:pPr>
        <w:pStyle w:val="ListParagraph"/>
        <w:numPr>
          <w:ilvl w:val="0"/>
          <w:numId w:val="2"/>
        </w:numPr>
        <w:spacing w:after="80"/>
      </w:pPr>
      <w:r>
        <w:rPr>
          <w:rFonts w:ascii="Calibri" w:cs="Calibri" w:eastAsia="Calibri" w:hAnsi="Calibri"/>
          <w:b/>
          <w:bCs/>
          <w:color w:val="222222"/>
          <w:sz w:val="22"/>
          <w:szCs w:val="22"/>
        </w:rPr>
        <w:t xml:space="preserve">The 7-day new-customer guard </w:t>
      </w:r>
      <w:r>
        <w:rPr>
          <w:rFonts w:ascii="Calibri" w:cs="Calibri" w:eastAsia="Calibri" w:hAnsi="Calibri"/>
          <w:color w:val="222222"/>
          <w:sz w:val="22"/>
          <w:szCs w:val="22"/>
        </w:rPr>
        <w:t xml:space="preserve">keeps backfilled history from firing “new purchase” campaigns at onboarding.</w:t>
      </w:r>
    </w:p>
    <w:p>
      <w:pPr>
        <w:pStyle w:val="ListParagraph"/>
        <w:numPr>
          <w:ilvl w:val="0"/>
          <w:numId w:val="2"/>
        </w:numPr>
        <w:spacing w:after="80"/>
      </w:pPr>
      <w:r>
        <w:rPr>
          <w:rFonts w:ascii="Calibri" w:cs="Calibri" w:eastAsia="Calibri" w:hAnsi="Calibri"/>
          <w:b/>
          <w:bCs/>
          <w:color w:val="222222"/>
          <w:sz w:val="22"/>
          <w:szCs w:val="22"/>
        </w:rPr>
        <w:t xml:space="preserve">The threshold gate </w:t>
      </w:r>
      <w:r>
        <w:rPr>
          <w:rFonts w:ascii="Calibri" w:cs="Calibri" w:eastAsia="Calibri" w:hAnsi="Calibri"/>
          <w:color w:val="222222"/>
          <w:sz w:val="22"/>
          <w:szCs w:val="22"/>
        </w:rPr>
        <w:t xml:space="preserve">keeps small refills from resetting a major-purchase nurture in flight.</w:t>
      </w:r>
    </w:p>
    <w:p>
      <w:pPr>
        <w:pStyle w:val="ListParagraph"/>
        <w:numPr>
          <w:ilvl w:val="0"/>
          <w:numId w:val="2"/>
        </w:numPr>
        <w:spacing w:after="80"/>
      </w:pPr>
      <w:r>
        <w:rPr>
          <w:rFonts w:ascii="Calibri" w:cs="Calibri" w:eastAsia="Calibri" w:hAnsi="Calibri"/>
          <w:b/>
          <w:bCs/>
          <w:color w:val="222222"/>
          <w:sz w:val="22"/>
          <w:szCs w:val="22"/>
        </w:rPr>
        <w:t xml:space="preserve">Nightly-latency guard: </w:t>
      </w:r>
      <w:r>
        <w:rPr>
          <w:rFonts w:ascii="Calibri" w:cs="Calibri" w:eastAsia="Calibri" w:hAnsi="Calibri"/>
          <w:color w:val="222222"/>
          <w:sz w:val="22"/>
          <w:szCs w:val="22"/>
        </w:rPr>
        <w:t xml:space="preserve">any send checks for a qualifying overnight event (payment, purchase) before firing; intra-day refresh for balance/estimate signals if rate limits allow.</w:t>
      </w:r>
    </w:p>
    <w:p>
      <w:pPr>
        <w:pStyle w:val="ListParagraph"/>
        <w:numPr>
          <w:ilvl w:val="0"/>
          <w:numId w:val="2"/>
        </w:numPr>
        <w:spacing w:after="80"/>
      </w:pPr>
      <w:r>
        <w:rPr>
          <w:rFonts w:ascii="Calibri" w:cs="Calibri" w:eastAsia="Calibri" w:hAnsi="Calibri"/>
          <w:b/>
          <w:bCs/>
          <w:color w:val="222222"/>
          <w:sz w:val="22"/>
          <w:szCs w:val="22"/>
        </w:rPr>
        <w:t xml:space="preserve">Relationship-first sequencing: </w:t>
      </w:r>
      <w:r>
        <w:rPr>
          <w:rFonts w:ascii="Calibri" w:cs="Calibri" w:eastAsia="Calibri" w:hAnsi="Calibri"/>
          <w:color w:val="222222"/>
          <w:sz w:val="22"/>
          <w:szCs w:val="22"/>
        </w:rPr>
        <w:t xml:space="preserve">an open detractor case (1–3 rating) or active balance issue pauses marketing offers to that contact.</w:t>
      </w:r>
    </w:p>
    <w:p>
      <w:pPr>
        <w:pStyle w:val="Heading1"/>
        <w:spacing w:after="160" w:before="320"/>
      </w:pPr>
      <w:r>
        <w:rPr>
          <w:rFonts w:ascii="Cambria" w:cs="Cambria" w:eastAsia="Cambria" w:hAnsi="Cambria"/>
          <w:b/>
          <w:bCs/>
          <w:color w:val="21295C"/>
          <w:sz w:val="32"/>
          <w:szCs w:val="32"/>
        </w:rPr>
        <w:t xml:space="preserve">12. Measurement &amp; Closed-Loop Attribution</w:t>
      </w:r>
    </w:p>
    <w:p>
      <w:pPr>
        <w:spacing w:after="120"/>
      </w:pPr>
      <w:r>
        <w:rPr>
          <w:rFonts w:ascii="Calibri" w:cs="Calibri" w:eastAsia="Calibri" w:hAnsi="Calibri"/>
          <w:color w:val="222222"/>
          <w:sz w:val="22"/>
          <w:szCs w:val="22"/>
        </w:rPr>
        <w:t xml:space="preserve">The signature promise, and the renewal weapon. Mechanics (per Engineering Spec v3): every campaign send stamps {category}_offer_sent on the contact; every synced purchase is checked against stamps; a match within 21 days becomes a won opportunity in the “Purchases — Attributed” pipeline, valued at the invoice amount. The dealer’s monthly report is GHL’s native opportunity dashboard: “campaigns drove $X in invoiced revenue” — ERP-verified, not click-modeled.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Audience</w:t>
            </w:r>
          </w:p>
        </w:tc>
        <w:tc>
          <w:tcPr>
            <w:tcW w:type="dxa" w:w="74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What they see monthly</w:t>
            </w:r>
          </w:p>
        </w:tc>
      </w:tr>
      <w:tr>
        <w:tc>
          <w:tcPr>
            <w:tcW w:type="dxa" w:w="1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Dealer</w:t>
            </w:r>
          </w:p>
        </w:tc>
        <w:tc>
          <w:tcPr>
            <w:tcW w:type="dxa" w:w="74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Attributed orders and dollars per campaign; review volume and rating trend; list growth; one recommendation for next month</w:t>
            </w:r>
          </w:p>
        </w:tc>
      </w:tr>
      <w:tr>
        <w:tc>
          <w:tcPr>
            <w:tcW w:type="dxa" w:w="19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Evosus</w:t>
            </w:r>
          </w:p>
        </w:tc>
        <w:tc>
          <w:tcPr>
            <w:tcW w:type="dxa" w:w="74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Aggregate program scorecard (no customer data): enrolled dealers, campaigns live, attributed revenue across the program — the referral fuel</w:t>
            </w:r>
          </w:p>
        </w:tc>
      </w:tr>
      <w:tr>
        <w:tc>
          <w:tcPr>
            <w:tcW w:type="dxa" w:w="1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SSP internal</w:t>
            </w:r>
          </w:p>
        </w:tc>
        <w:tc>
          <w:tcPr>
            <w:tcW w:type="dxa" w:w="74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Per-campaign conversion, send performance, interval accuracy — the optimization loop</w:t>
            </w:r>
          </w:p>
        </w:tc>
      </w:tr>
    </w:tbl>
    <w:p>
      <w:pPr>
        <w:spacing w:after="160"/>
      </w:pPr>
    </w:p>
    <w:p>
      <w:pPr>
        <w:spacing w:after="120"/>
      </w:pPr>
      <w:r>
        <w:rPr>
          <w:rFonts w:ascii="Calibri" w:cs="Calibri" w:eastAsia="Calibri" w:hAnsi="Calibri"/>
          <w:color w:val="222222"/>
          <w:sz w:val="22"/>
          <w:szCs w:val="22"/>
        </w:rPr>
        <w:t xml:space="preserve">Pilot targets (per dealer, by day 90): ≥ 1 attributed order per 100 synced contacts/month; +50% monthly Google review volume vs. baseline; 3–5% dormant reactivation; 5–8% of serviced customers offered a plan convert; measurable balance recovery in month 1; dealer willing to be a reference.</w:t>
      </w:r>
    </w:p>
    <w:p>
      <w:r>
        <w:br w:type="page"/>
      </w:r>
    </w:p>
    <w:p>
      <w:pPr>
        <w:pStyle w:val="Heading1"/>
        <w:spacing w:after="160" w:before="320"/>
      </w:pPr>
      <w:r>
        <w:rPr>
          <w:rFonts w:ascii="Cambria" w:cs="Cambria" w:eastAsia="Cambria" w:hAnsi="Cambria"/>
          <w:b/>
          <w:bCs/>
          <w:color w:val="21295C"/>
          <w:sz w:val="32"/>
          <w:szCs w:val="32"/>
        </w:rPr>
        <w:t xml:space="preserve">13. The Build, Step by Step</w:t>
      </w:r>
    </w:p>
    <w:p>
      <w:pPr>
        <w:spacing w:after="120"/>
      </w:pPr>
      <w:r>
        <w:rPr>
          <w:rFonts w:ascii="Calibri" w:cs="Calibri" w:eastAsia="Calibri" w:hAnsi="Calibri"/>
          <w:color w:val="222222"/>
          <w:sz w:val="22"/>
          <w:szCs w:val="22"/>
        </w:rPr>
        <w:t xml:space="preserve">Sequenced so that every step produces something demonstrable, no step waits on Evosus unless it must, and dealer-visible wins arrive in the first 30 days.</w:t>
      </w:r>
    </w:p>
    <w:p>
      <w:pPr>
        <w:pStyle w:val="Heading2"/>
        <w:spacing w:after="120" w:before="240"/>
      </w:pPr>
      <w:r>
        <w:rPr>
          <w:rFonts w:ascii="Cambria" w:cs="Cambria" w:eastAsia="Cambria" w:hAnsi="Cambria"/>
          <w:b/>
          <w:bCs/>
          <w:color w:val="065A82"/>
          <w:sz w:val="26"/>
          <w:szCs w:val="26"/>
        </w:rPr>
        <w:t xml:space="preserve">Phase 0 — Now (weeks 1–2): zero Evosus dependency</w:t>
      </w:r>
    </w:p>
    <w:p>
      <w:pPr>
        <w:pStyle w:val="ListParagraph"/>
        <w:numPr>
          <w:ilvl w:val="0"/>
          <w:numId w:val="2"/>
        </w:numPr>
        <w:spacing w:after="80"/>
      </w:pPr>
      <w:r>
        <w:rPr>
          <w:rFonts w:ascii="Calibri" w:cs="Calibri" w:eastAsia="Calibri" w:hAnsi="Calibri"/>
          <w:color w:val="222222"/>
          <w:sz w:val="22"/>
          <w:szCs w:val="22"/>
        </w:rPr>
        <w:t xml:space="preserve">Send Eric’s reply to John: confirm the interim API; ask the exact orderStatus vocabulary, completed-order handling, and for the prototype payload + test cases. (The stated blocker — first move.)</w:t>
      </w:r>
    </w:p>
    <w:p>
      <w:pPr>
        <w:pStyle w:val="ListParagraph"/>
        <w:numPr>
          <w:ilvl w:val="0"/>
          <w:numId w:val="2"/>
        </w:numPr>
        <w:spacing w:after="80"/>
      </w:pPr>
      <w:r>
        <w:rPr>
          <w:rFonts w:ascii="Calibri" w:cs="Calibri" w:eastAsia="Calibri" w:hAnsi="Calibri"/>
          <w:color w:val="222222"/>
          <w:sz w:val="22"/>
          <w:szCs w:val="22"/>
        </w:rPr>
        <w:t xml:space="preserve">Master sub-account build-out: schema + tag taxonomy, the [SSP-CORE] workflow library for wave-1 campaigns, email/SMS template shells, attribution pipeline.</w:t>
      </w:r>
    </w:p>
    <w:p>
      <w:pPr>
        <w:pStyle w:val="ListParagraph"/>
        <w:numPr>
          <w:ilvl w:val="0"/>
          <w:numId w:val="2"/>
        </w:numPr>
        <w:spacing w:after="80"/>
      </w:pPr>
      <w:r>
        <w:rPr>
          <w:rFonts w:ascii="Calibri" w:cs="Calibri" w:eastAsia="Calibri" w:hAnsi="Calibri"/>
          <w:color w:val="222222"/>
          <w:sz w:val="22"/>
          <w:szCs w:val="22"/>
        </w:rPr>
        <w:t xml:space="preserve">The two GHL verifications from the spec: does the snapshot carry custom-object schemas; records-search semantics. Each has a proven fallback either way.</w:t>
      </w:r>
    </w:p>
    <w:p>
      <w:pPr>
        <w:pStyle w:val="ListParagraph"/>
        <w:numPr>
          <w:ilvl w:val="0"/>
          <w:numId w:val="2"/>
        </w:numPr>
        <w:spacing w:after="80"/>
      </w:pPr>
      <w:r>
        <w:rPr>
          <w:rFonts w:ascii="Calibri" w:cs="Calibri" w:eastAsia="Calibri" w:hAnsi="Calibri"/>
          <w:color w:val="222222"/>
          <w:sz w:val="22"/>
          <w:szCs w:val="22"/>
        </w:rPr>
        <w:t xml:space="preserve">Connector skeleton against the acceptance environment: auth, envelope handling, /customers/{id}, /customers/{id}/skus, /orders detail pulls, normalization rules (date formats, money-string parsing, string IDs).</w:t>
      </w:r>
    </w:p>
    <w:p>
      <w:pPr>
        <w:pStyle w:val="ListParagraph"/>
        <w:numPr>
          <w:ilvl w:val="0"/>
          <w:numId w:val="2"/>
        </w:numPr>
        <w:spacing w:after="80"/>
      </w:pPr>
      <w:r>
        <w:rPr>
          <w:rFonts w:ascii="Calibri" w:cs="Calibri" w:eastAsia="Calibri" w:hAnsi="Calibri"/>
          <w:color w:val="222222"/>
          <w:sz w:val="22"/>
          <w:szCs w:val="22"/>
        </w:rPr>
        <w:t xml:space="preserve">Mock-mode demo: fake purchases through the real pipeline fire a real nurture email — the meeting proof for the Pam×Dan session.</w:t>
      </w:r>
    </w:p>
    <w:p>
      <w:pPr>
        <w:pStyle w:val="ListParagraph"/>
        <w:numPr>
          <w:ilvl w:val="0"/>
          <w:numId w:val="2"/>
        </w:numPr>
        <w:spacing w:after="80"/>
      </w:pPr>
      <w:r>
        <w:rPr>
          <w:rFonts w:ascii="Calibri" w:cs="Calibri" w:eastAsia="Calibri" w:hAnsi="Calibri"/>
          <w:color w:val="222222"/>
          <w:sz w:val="22"/>
          <w:szCs w:val="22"/>
        </w:rPr>
        <w:t xml:space="preserve">Draft the three-party data-sharing agreement; ask John to rotate the acceptance key (it traveled by email).</w:t>
      </w:r>
    </w:p>
    <w:p>
      <w:pPr>
        <w:pStyle w:val="Heading2"/>
        <w:spacing w:after="120" w:before="240"/>
      </w:pPr>
      <w:r>
        <w:rPr>
          <w:rFonts w:ascii="Cambria" w:cs="Cambria" w:eastAsia="Cambria" w:hAnsi="Cambria"/>
          <w:b/>
          <w:bCs/>
          <w:color w:val="065A82"/>
          <w:sz w:val="26"/>
          <w:szCs w:val="26"/>
        </w:rPr>
        <w:t xml:space="preserve">Phase 1 — Pilot dealer (weeks 3–8): AAA Pools</w:t>
      </w:r>
    </w:p>
    <w:p>
      <w:pPr>
        <w:pStyle w:val="ListParagraph"/>
        <w:numPr>
          <w:ilvl w:val="0"/>
          <w:numId w:val="2"/>
        </w:numPr>
        <w:spacing w:after="80"/>
      </w:pPr>
      <w:r>
        <w:rPr>
          <w:rFonts w:ascii="Calibri" w:cs="Calibri" w:eastAsia="Calibri" w:hAnsi="Calibri"/>
          <w:color w:val="222222"/>
          <w:sz w:val="22"/>
          <w:szCs w:val="22"/>
        </w:rPr>
        <w:t xml:space="preserve">Onboard per the runbook (Section 14): authorization, credentials, snapshot, Config values, CSV import, 24-month backfill.</w:t>
      </w:r>
    </w:p>
    <w:p>
      <w:pPr>
        <w:pStyle w:val="ListParagraph"/>
        <w:numPr>
          <w:ilvl w:val="0"/>
          <w:numId w:val="2"/>
        </w:numPr>
        <w:spacing w:after="80"/>
      </w:pPr>
      <w:r>
        <w:rPr>
          <w:rFonts w:ascii="Calibri" w:cs="Calibri" w:eastAsia="Calibri" w:hAnsi="Calibri"/>
          <w:color w:val="222222"/>
          <w:sz w:val="22"/>
          <w:szCs w:val="22"/>
        </w:rPr>
        <w:t xml:space="preserve">Acceptance criteria before campaigns go live: re-run creates zero duplicates; a fresh LOU purchase appears on a card and fires its trigger within 24h.</w:t>
      </w:r>
    </w:p>
    <w:p>
      <w:pPr>
        <w:pStyle w:val="ListParagraph"/>
        <w:numPr>
          <w:ilvl w:val="0"/>
          <w:numId w:val="2"/>
        </w:numPr>
        <w:spacing w:after="80"/>
      </w:pPr>
      <w:r>
        <w:rPr>
          <w:rFonts w:ascii="Calibri" w:cs="Calibri" w:eastAsia="Calibri" w:hAnsi="Calibri"/>
          <w:color w:val="222222"/>
          <w:sz w:val="22"/>
          <w:szCs w:val="22"/>
        </w:rPr>
        <w:t xml:space="preserve">Wave 1 live: C9 Balance-Due (found money, week one), C5 Water Care Autopilot (the anchor), C4 Service Loop (reviews), C1 Welcome Splash.</w:t>
      </w:r>
    </w:p>
    <w:p>
      <w:pPr>
        <w:pStyle w:val="ListParagraph"/>
        <w:numPr>
          <w:ilvl w:val="0"/>
          <w:numId w:val="2"/>
        </w:numPr>
        <w:spacing w:after="80"/>
      </w:pPr>
      <w:r>
        <w:rPr>
          <w:rFonts w:ascii="Calibri" w:cs="Calibri" w:eastAsia="Calibri" w:hAnsi="Calibri"/>
          <w:color w:val="222222"/>
          <w:sz w:val="22"/>
          <w:szCs w:val="22"/>
        </w:rPr>
        <w:t xml:space="preserve">Orders-by-date API lands (late Aug) → swap discovery from per-customer polling to the daily order list; run John’s test cases.</w:t>
      </w:r>
    </w:p>
    <w:p>
      <w:pPr>
        <w:pStyle w:val="ListParagraph"/>
        <w:numPr>
          <w:ilvl w:val="0"/>
          <w:numId w:val="2"/>
        </w:numPr>
        <w:spacing w:after="80"/>
      </w:pPr>
      <w:r>
        <w:rPr>
          <w:rFonts w:ascii="Calibri" w:cs="Calibri" w:eastAsia="Calibri" w:hAnsi="Calibri"/>
          <w:color w:val="222222"/>
          <w:sz w:val="22"/>
          <w:szCs w:val="22"/>
        </w:rPr>
        <w:t xml:space="preserve">First monthly attribution report — the artifact that anchors every later conversation.</w:t>
      </w:r>
    </w:p>
    <w:p>
      <w:pPr>
        <w:pStyle w:val="Heading2"/>
        <w:spacing w:after="120" w:before="240"/>
      </w:pPr>
      <w:r>
        <w:rPr>
          <w:rFonts w:ascii="Cambria" w:cs="Cambria" w:eastAsia="Cambria" w:hAnsi="Cambria"/>
          <w:b/>
          <w:bCs/>
          <w:color w:val="065A82"/>
          <w:sz w:val="26"/>
          <w:szCs w:val="26"/>
        </w:rPr>
        <w:t xml:space="preserve">Phase 2 — Cohort (weeks 9–16): 3–5 dealers from Evosus warm intros</w:t>
      </w:r>
    </w:p>
    <w:p>
      <w:pPr>
        <w:pStyle w:val="ListParagraph"/>
        <w:numPr>
          <w:ilvl w:val="0"/>
          <w:numId w:val="2"/>
        </w:numPr>
        <w:spacing w:after="80"/>
      </w:pPr>
      <w:r>
        <w:rPr>
          <w:rFonts w:ascii="Calibri" w:cs="Calibri" w:eastAsia="Calibri" w:hAnsi="Calibri"/>
          <w:color w:val="222222"/>
          <w:sz w:val="22"/>
          <w:szCs w:val="22"/>
        </w:rPr>
        <w:t xml:space="preserve">Waves 2–3 live across the cohort (C2, C3, C6, C7, then C10, C11, C12-proxy); copy/offer optimization from pilot data.</w:t>
      </w:r>
    </w:p>
    <w:p>
      <w:pPr>
        <w:pStyle w:val="ListParagraph"/>
        <w:numPr>
          <w:ilvl w:val="0"/>
          <w:numId w:val="2"/>
        </w:numPr>
        <w:spacing w:after="80"/>
      </w:pPr>
      <w:r>
        <w:rPr>
          <w:rFonts w:ascii="Calibri" w:cs="Calibri" w:eastAsia="Calibri" w:hAnsi="Calibri"/>
          <w:color w:val="222222"/>
          <w:sz w:val="22"/>
          <w:szCs w:val="22"/>
        </w:rPr>
        <w:t xml:space="preserve">Capacity-model checkpoint before wave commitments; monthly reports per dealer; joint case study drafted with Evosus.</w:t>
      </w:r>
    </w:p>
    <w:p>
      <w:pPr>
        <w:pStyle w:val="ListParagraph"/>
        <w:numPr>
          <w:ilvl w:val="0"/>
          <w:numId w:val="2"/>
        </w:numPr>
        <w:spacing w:after="80"/>
      </w:pPr>
      <w:r>
        <w:rPr>
          <w:rFonts w:ascii="Calibri" w:cs="Calibri" w:eastAsia="Calibri" w:hAnsi="Calibri"/>
          <w:color w:val="222222"/>
          <w:sz w:val="22"/>
          <w:szCs w:val="22"/>
        </w:rPr>
        <w:t xml:space="preserve">Productize: pricing tiers finalized (Section 16), in-LOU enrollment flow designed with Evosus, co-branded collateral.</w:t>
      </w:r>
    </w:p>
    <w:p>
      <w:pPr>
        <w:pStyle w:val="Heading2"/>
        <w:spacing w:after="120" w:before="240"/>
      </w:pPr>
      <w:r>
        <w:rPr>
          <w:rFonts w:ascii="Cambria" w:cs="Cambria" w:eastAsia="Cambria" w:hAnsi="Cambria"/>
          <w:b/>
          <w:bCs/>
          <w:color w:val="065A82"/>
          <w:sz w:val="26"/>
          <w:szCs w:val="26"/>
        </w:rPr>
        <w:t xml:space="preserve">Phase 3 — Evosus engineering lands: scale</w:t>
      </w:r>
    </w:p>
    <w:p>
      <w:pPr>
        <w:pStyle w:val="ListParagraph"/>
        <w:numPr>
          <w:ilvl w:val="0"/>
          <w:numId w:val="2"/>
        </w:numPr>
        <w:spacing w:after="80"/>
      </w:pPr>
      <w:r>
        <w:rPr>
          <w:rFonts w:ascii="Calibri" w:cs="Calibri" w:eastAsia="Calibri" w:hAnsi="Calibri"/>
          <w:color w:val="222222"/>
          <w:sz w:val="22"/>
          <w:szCs w:val="22"/>
        </w:rPr>
        <w:t xml:space="preserve">Push events → same-day Service Loop; estimates → C8 Quote Rescue on; equipment → C12 full; write-back (web lead → LOU customer, funnel booking → LOU work order) makes GHL feed the dealer’s ERP qualified demand.</w:t>
      </w:r>
    </w:p>
    <w:p>
      <w:pPr>
        <w:pStyle w:val="ListParagraph"/>
        <w:numPr>
          <w:ilvl w:val="0"/>
          <w:numId w:val="2"/>
        </w:numPr>
        <w:spacing w:after="80"/>
      </w:pPr>
      <w:r>
        <w:rPr>
          <w:rFonts w:ascii="Calibri" w:cs="Calibri" w:eastAsia="Calibri" w:hAnsi="Calibri"/>
          <w:color w:val="222222"/>
          <w:sz w:val="22"/>
          <w:szCs w:val="22"/>
        </w:rPr>
        <w:t xml:space="preserve">Wave onboarding 50–100+ dealers on the snapshot model; QBR cadence per dealer.</w:t>
      </w:r>
    </w:p>
    <w:p>
      <w:pPr>
        <w:pStyle w:val="Heading2"/>
        <w:spacing w:after="120" w:before="240"/>
      </w:pPr>
      <w:r>
        <w:rPr>
          <w:rFonts w:ascii="Cambria" w:cs="Cambria" w:eastAsia="Cambria" w:hAnsi="Cambria"/>
          <w:b/>
          <w:bCs/>
          <w:color w:val="065A82"/>
          <w:sz w:val="26"/>
          <w:szCs w:val="26"/>
        </w:rPr>
        <w:t xml:space="preserve">13.1 The consolidated asks of Evosus (ranked, in campaign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560"/>
      </w:tblGrid>
      <w:tr>
        <w:trPr>
          <w:tblHeader/>
        </w:trPr>
        <w:tc>
          <w:tcPr>
            <w:tcW w:type="dxa" w:w="5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t>
            </w:r>
          </w:p>
        </w:tc>
        <w:tc>
          <w:tcPr>
            <w:tcW w:type="dxa" w:w="53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Ask</w:t>
            </w:r>
          </w:p>
        </w:tc>
        <w:tc>
          <w:tcPr>
            <w:tcW w:type="dxa" w:w="35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Unlocks</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1</w:t>
            </w:r>
          </w:p>
        </w:tc>
        <w:tc>
          <w:tcPr>
            <w:tcW w:type="dxa" w:w="5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Estimate read API (open estimates: id, amount, date, status, doc link)</w:t>
            </w:r>
          </w:p>
        </w:tc>
        <w:tc>
          <w:tcPr>
            <w:tcW w:type="dxa" w:w="3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C8 Quote Rescue — the campaign Dan named; the largest single revenue play</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2</w:t>
            </w:r>
          </w:p>
        </w:tc>
        <w:tc>
          <w:tcPr>
            <w:tcW w:type="dxa" w:w="5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Push events (webhook per Eric’s 7/1 spec, or the WebSocket solution in dev)</w:t>
            </w:r>
          </w:p>
        </w:tc>
        <w:tc>
          <w:tcPr>
            <w:tcW w:type="dxa" w:w="3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Same-day service rating → higher review capture</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3</w:t>
            </w:r>
          </w:p>
        </w:tc>
        <w:tc>
          <w:tcPr>
            <w:tcW w:type="dxa" w:w="5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Customer list / changed-customers endpoint</w:t>
            </w:r>
          </w:p>
        </w:tc>
        <w:tc>
          <w:tcPr>
            <w:tcW w:type="dxa" w:w="3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CSV-free onboarding; complete dormant-file coverage</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4</w:t>
            </w:r>
          </w:p>
        </w:tc>
        <w:tc>
          <w:tcPr>
            <w:tcW w:type="dxa" w:w="5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Equipment/asset registry read per customer</w:t>
            </w:r>
          </w:p>
        </w:tc>
        <w:tc>
          <w:tcPr>
            <w:tcW w:type="dxa" w:w="3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C12 Smart Replacement full version</w:t>
            </w:r>
          </w:p>
        </w:tc>
      </w:tr>
      <w:tr>
        <w:tc>
          <w:tcPr>
            <w:tcW w:type="dxa" w:w="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5</w:t>
            </w:r>
          </w:p>
        </w:tc>
        <w:tc>
          <w:tcPr>
            <w:tcW w:type="dxa" w:w="53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Status-change feed (or status filter on the orders-by-date list)</w:t>
            </w:r>
          </w:p>
        </w:tc>
        <w:tc>
          <w:tcPr>
            <w:tcW w:type="dxa" w:w="35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Cleaner completed-order triggers than re-polling</w:t>
            </w:r>
          </w:p>
        </w:tc>
      </w:tr>
      <w:tr>
        <w:tc>
          <w:tcPr>
            <w:tcW w:type="dxa" w:w="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6</w:t>
            </w:r>
          </w:p>
        </w:tc>
        <w:tc>
          <w:tcPr>
            <w:tcW w:type="dxa" w:w="53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Ops: documented rate limits, production credential + rotation model, sandbox parity</w:t>
            </w:r>
          </w:p>
        </w:tc>
        <w:tc>
          <w:tcPr>
            <w:tcW w:type="dxa" w:w="35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 sync we can operate at 100-dealer scale</w:t>
            </w:r>
          </w:p>
        </w:tc>
      </w:tr>
    </w:tbl>
    <w:p>
      <w:pPr>
        <w:pStyle w:val="Heading1"/>
        <w:spacing w:after="160" w:before="320"/>
      </w:pPr>
      <w:r>
        <w:rPr>
          <w:rFonts w:ascii="Cambria" w:cs="Cambria" w:eastAsia="Cambria" w:hAnsi="Cambria"/>
          <w:b/>
          <w:bCs/>
          <w:color w:val="21295C"/>
          <w:sz w:val="32"/>
          <w:szCs w:val="32"/>
        </w:rPr>
        <w:t xml:space="preserve">14. Dealer Onboarding Runbook (enroll → live in about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Day</w:t>
            </w:r>
          </w:p>
        </w:tc>
        <w:tc>
          <w:tcPr>
            <w:tcW w:type="dxa" w:w="69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Steps</w:t>
            </w:r>
          </w:p>
        </w:tc>
        <w:tc>
          <w:tcPr>
            <w:tcW w:type="dxa" w:w="15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Owner</w:t>
            </w:r>
          </w:p>
        </w:tc>
      </w:tr>
      <w:tr>
        <w:tc>
          <w:tcPr>
            <w:tcW w:type="dxa" w:w="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1</w:t>
            </w:r>
          </w:p>
        </w:tc>
        <w:tc>
          <w:tcPr>
            <w:tcW w:type="dxa" w:w="69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Dealer enrolls in the Integration Partnership; authorizes data sharing; LOU API key issued (Evosus flow). SSP creates the sub-account from the master snapshot; provisioning check; IDs cached.</w:t>
            </w:r>
          </w:p>
        </w:tc>
        <w:tc>
          <w:tcPr>
            <w:tcW w:type="dxa" w:w="1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Evosus + SSP eng</w:t>
            </w:r>
          </w:p>
        </w:tc>
      </w:tr>
      <w:tr>
        <w:tc>
          <w:tcPr>
            <w:tcW w:type="dxa" w:w="9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2</w:t>
            </w:r>
          </w:p>
        </w:tc>
        <w:tc>
          <w:tcPr>
            <w:tcW w:type="dxa" w:w="69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AM sets Config values: dealer identity, booking + review links, offers per category, referral amounts, reorder offsets, seasonal windows. Dealer exports the customer grid CSV from LOU.</w:t>
            </w:r>
          </w:p>
        </w:tc>
        <w:tc>
          <w:tcPr>
            <w:tcW w:type="dxa" w:w="1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AM + dealer</w:t>
            </w:r>
          </w:p>
        </w:tc>
      </w:tr>
      <w:tr>
        <w:tc>
          <w:tcPr>
            <w:tcW w:type="dxa" w:w="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3</w:t>
            </w:r>
          </w:p>
        </w:tc>
        <w:tc>
          <w:tcPr>
            <w:tcW w:type="dxa" w:w="69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CSV imported via GHL’s native importer (contacts exist with lou_customer_id). Backfill sync: 24 months of purchase history — informs triggers, never fires “new purchase” sends (7-day guard).</w:t>
            </w:r>
          </w:p>
        </w:tc>
        <w:tc>
          <w:tcPr>
            <w:tcW w:type="dxa" w:w="1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SSP eng</w:t>
            </w:r>
          </w:p>
        </w:tc>
      </w:tr>
      <w:tr>
        <w:tc>
          <w:tcPr>
            <w:tcW w:type="dxa" w:w="9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4</w:t>
            </w:r>
          </w:p>
        </w:tc>
        <w:tc>
          <w:tcPr>
            <w:tcW w:type="dxa" w:w="69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QA: zero-duplicate re-run check; trigger-latency check; consent audit (email-first; sms-consent tagging from the dealer’s records); quiet-hours config.</w:t>
            </w:r>
          </w:p>
        </w:tc>
        <w:tc>
          <w:tcPr>
            <w:tcW w:type="dxa" w:w="1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SSP eng + AM</w:t>
            </w:r>
          </w:p>
        </w:tc>
      </w:tr>
      <w:tr>
        <w:tc>
          <w:tcPr>
            <w:tcW w:type="dxa" w:w="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Day 5</w:t>
            </w:r>
          </w:p>
        </w:tc>
        <w:tc>
          <w:tcPr>
            <w:tcW w:type="dxa" w:w="69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 1 live: Balance-Due, Water Care Autopilot, Service Loop, Welcome Splash. Dealer gets the “what happens next” one-pager + the first-30-days expectations note.</w:t>
            </w:r>
          </w:p>
        </w:tc>
        <w:tc>
          <w:tcPr>
            <w:tcW w:type="dxa" w:w="1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AM</w:t>
            </w:r>
          </w:p>
        </w:tc>
      </w:tr>
      <w:tr>
        <w:tc>
          <w:tcPr>
            <w:tcW w:type="dxa" w:w="9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Week 2–4</w:t>
            </w:r>
          </w:p>
        </w:tc>
        <w:tc>
          <w:tcPr>
            <w:tcW w:type="dxa" w:w="69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Waves 2–3 activate progressively after data review. Day-30: first mini-report call — the first win, in dollars, on a page.</w:t>
            </w:r>
          </w:p>
        </w:tc>
        <w:tc>
          <w:tcPr>
            <w:tcW w:type="dxa" w:w="1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AM</w:t>
            </w:r>
          </w:p>
        </w:tc>
      </w:tr>
    </w:tbl>
    <w:p>
      <w:r>
        <w:br w:type="page"/>
      </w:r>
    </w:p>
    <w:p>
      <w:pPr>
        <w:pStyle w:val="Heading1"/>
        <w:spacing w:after="160" w:before="320"/>
      </w:pPr>
      <w:r>
        <w:rPr>
          <w:rFonts w:ascii="Cambria" w:cs="Cambria" w:eastAsia="Cambria" w:hAnsi="Cambria"/>
          <w:b/>
          <w:bCs/>
          <w:color w:val="21295C"/>
          <w:sz w:val="32"/>
          <w:szCs w:val="32"/>
        </w:rPr>
        <w:t xml:space="preserve">15. Locking In Dealer Engagement — the Ladder</w:t>
      </w:r>
    </w:p>
    <w:p>
      <w:pPr>
        <w:spacing w:after="120"/>
      </w:pPr>
      <w:r>
        <w:rPr>
          <w:rFonts w:ascii="Calibri" w:cs="Calibri" w:eastAsia="Calibri" w:hAnsi="Calibri"/>
          <w:color w:val="222222"/>
          <w:sz w:val="22"/>
          <w:szCs w:val="22"/>
        </w:rPr>
        <w:t xml:space="preserve">Integration alone doesn’t retain dealers; visible wins on a rhythm do. The ladder below is the engagement design — each rung creates the habit that makes the next rung natural, and each is deliberately hard to walk away from.</w:t>
      </w:r>
    </w:p>
    <w:p>
      <w:pPr>
        <w:pStyle w:val="Heading2"/>
        <w:spacing w:after="120" w:before="240"/>
      </w:pPr>
      <w:r>
        <w:rPr>
          <w:rFonts w:ascii="Cambria" w:cs="Cambria" w:eastAsia="Cambria" w:hAnsi="Cambria"/>
          <w:b/>
          <w:bCs/>
          <w:color w:val="065A82"/>
          <w:sz w:val="26"/>
          <w:szCs w:val="26"/>
        </w:rPr>
        <w:t xml:space="preserve">Rung 1 — A win in the first 30 days</w:t>
      </w:r>
    </w:p>
    <w:p>
      <w:pPr>
        <w:spacing w:after="120"/>
      </w:pPr>
      <w:r>
        <w:rPr>
          <w:rFonts w:ascii="Calibri" w:cs="Calibri" w:eastAsia="Calibri" w:hAnsi="Calibri"/>
          <w:color w:val="222222"/>
          <w:sz w:val="22"/>
          <w:szCs w:val="22"/>
        </w:rPr>
        <w:t xml:space="preserve">Wave 1 is chosen for speed-to-proof, not strategic elegance: recovered balances (C9) and reorders (C5) show invoice dollars within weeks; reviews (C4) are publicly visible. The Day-30 call presents three numbers and one story. A dealer who has seen found money in month one does not churn in month two.</w:t>
      </w:r>
    </w:p>
    <w:p>
      <w:pPr>
        <w:pStyle w:val="Heading2"/>
        <w:spacing w:after="120" w:before="240"/>
      </w:pPr>
      <w:r>
        <w:rPr>
          <w:rFonts w:ascii="Cambria" w:cs="Cambria" w:eastAsia="Cambria" w:hAnsi="Cambria"/>
          <w:b/>
          <w:bCs/>
          <w:color w:val="065A82"/>
          <w:sz w:val="26"/>
          <w:szCs w:val="26"/>
        </w:rPr>
        <w:t xml:space="preserve">Rung 2 — The monthly report habit</w:t>
      </w:r>
    </w:p>
    <w:p>
      <w:pPr>
        <w:spacing w:after="120"/>
      </w:pPr>
      <w:r>
        <w:rPr>
          <w:rFonts w:ascii="Calibri" w:cs="Calibri" w:eastAsia="Calibri" w:hAnsi="Calibri"/>
          <w:color w:val="222222"/>
          <w:sz w:val="22"/>
          <w:szCs w:val="22"/>
        </w:rPr>
        <w:t xml:space="preserve">One page, same format, every month: attributed dollars by campaign, review trend, list growth, and exactly one recommendation. Fifteen-minute AM walk-through. The report is deliberately the only place a dealer can see “campaigns → orders → dollars” — ERP-verified numbers no other vendor can produce. The habit is the moat.</w:t>
      </w:r>
    </w:p>
    <w:p>
      <w:pPr>
        <w:pStyle w:val="Heading2"/>
        <w:spacing w:after="120" w:before="240"/>
      </w:pPr>
      <w:r>
        <w:rPr>
          <w:rFonts w:ascii="Cambria" w:cs="Cambria" w:eastAsia="Cambria" w:hAnsi="Cambria"/>
          <w:b/>
          <w:bCs/>
          <w:color w:val="065A82"/>
          <w:sz w:val="26"/>
          <w:szCs w:val="26"/>
        </w:rPr>
        <w:t xml:space="preserve">Rung 3 — Quarterly business review + preloaded season</w:t>
      </w:r>
    </w:p>
    <w:p>
      <w:pPr>
        <w:spacing w:after="120"/>
      </w:pPr>
      <w:r>
        <w:rPr>
          <w:rFonts w:ascii="Calibri" w:cs="Calibri" w:eastAsia="Calibri" w:hAnsi="Calibri"/>
          <w:color w:val="222222"/>
          <w:sz w:val="22"/>
          <w:szCs w:val="22"/>
        </w:rPr>
        <w:t xml:space="preserve">QBRs align the next season’s calendar (already built — the dealer approves offers, nothing more), review plan-member growth, and set one goal. The dealer’s marketing is now planned a season ahead — switching vendors means starting from zero in the exact week the season turns.</w:t>
      </w:r>
    </w:p>
    <w:p>
      <w:pPr>
        <w:pStyle w:val="Heading2"/>
        <w:spacing w:after="120" w:before="240"/>
      </w:pPr>
      <w:r>
        <w:rPr>
          <w:rFonts w:ascii="Cambria" w:cs="Cambria" w:eastAsia="Cambria" w:hAnsi="Cambria"/>
          <w:b/>
          <w:bCs/>
          <w:color w:val="065A82"/>
          <w:sz w:val="26"/>
          <w:szCs w:val="26"/>
        </w:rPr>
        <w:t xml:space="preserve">Rung 4 — The compounding data moat</w:t>
      </w:r>
    </w:p>
    <w:p>
      <w:pPr>
        <w:spacing w:after="120"/>
      </w:pPr>
      <w:r>
        <w:rPr>
          <w:rFonts w:ascii="Calibri" w:cs="Calibri" w:eastAsia="Calibri" w:hAnsi="Calibri"/>
          <w:color w:val="222222"/>
          <w:sz w:val="22"/>
          <w:szCs w:val="22"/>
        </w:rPr>
        <w:t xml:space="preserve">Reorder intervals tune to each customer’s observed cadence; segments enrich monthly; attribution baselines sharpen. Results mechanically improve with tenure, and a departing dealer leaves the tuned engine behind. Say this plainly in sales conversations — it is true and it lands.</w:t>
      </w:r>
    </w:p>
    <w:p>
      <w:pPr>
        <w:pStyle w:val="Heading2"/>
        <w:spacing w:after="120" w:before="240"/>
      </w:pPr>
      <w:r>
        <w:rPr>
          <w:rFonts w:ascii="Cambria" w:cs="Cambria" w:eastAsia="Cambria" w:hAnsi="Cambria"/>
          <w:b/>
          <w:bCs/>
          <w:color w:val="065A82"/>
          <w:sz w:val="26"/>
          <w:szCs w:val="26"/>
        </w:rPr>
        <w:t xml:space="preserve">Rung 5 — Network effects</w:t>
      </w:r>
    </w:p>
    <w:p>
      <w:pPr>
        <w:spacing w:after="120"/>
      </w:pPr>
      <w:r>
        <w:rPr>
          <w:rFonts w:ascii="Calibri" w:cs="Calibri" w:eastAsia="Calibri" w:hAnsi="Calibri"/>
          <w:color w:val="222222"/>
          <w:sz w:val="22"/>
          <w:szCs w:val="22"/>
        </w:rPr>
        <w:t xml:space="preserve">Network-in-a-day means every dealer gets every new campaign SSP ships, at once, forever — membership appreciates. Cohort benchmarks (“dealers your size average X reviews/month”) make the report competitive. Joint Evosus webinars and the dealer community make leaving socially visible.</w:t>
      </w:r>
    </w:p>
    <w:p>
      <w:pPr>
        <w:pStyle w:val="Heading2"/>
        <w:spacing w:after="120" w:before="240"/>
      </w:pPr>
      <w:r>
        <w:rPr>
          <w:rFonts w:ascii="Cambria" w:cs="Cambria" w:eastAsia="Cambria" w:hAnsi="Cambria"/>
          <w:b/>
          <w:bCs/>
          <w:color w:val="065A82"/>
          <w:sz w:val="26"/>
          <w:szCs w:val="26"/>
        </w:rPr>
        <w:t xml:space="preserve">Rung 6 — Advocacy</w:t>
      </w:r>
    </w:p>
    <w:p>
      <w:pPr>
        <w:spacing w:after="120"/>
      </w:pPr>
      <w:r>
        <w:rPr>
          <w:rFonts w:ascii="Calibri" w:cs="Calibri" w:eastAsia="Calibri" w:hAnsi="Calibri"/>
          <w:color w:val="222222"/>
          <w:sz w:val="22"/>
          <w:szCs w:val="22"/>
        </w:rPr>
        <w:t xml:space="preserve">Case-study participation, references for Evosus’s sales team, dealer-to-dealer referral rewards. An advocate dealer is retained by identity, not contract.</w:t>
      </w:r>
    </w:p>
    <w:p>
      <w:pPr>
        <w:pStyle w:val="Heading2"/>
        <w:spacing w:after="120" w:before="240"/>
      </w:pPr>
      <w:r>
        <w:rPr>
          <w:rFonts w:ascii="Cambria" w:cs="Cambria" w:eastAsia="Cambria" w:hAnsi="Cambria"/>
          <w:b/>
          <w:bCs/>
          <w:color w:val="065A82"/>
          <w:sz w:val="26"/>
          <w:szCs w:val="26"/>
        </w:rPr>
        <w:t xml:space="preserve">15.1 Dealer health signals (our own churn-risk system)</w:t>
      </w:r>
    </w:p>
    <w:p>
      <w:pPr>
        <w:spacing w:after="120"/>
      </w:pPr>
      <w:r>
        <w:rPr>
          <w:rFonts w:ascii="Calibri" w:cs="Calibri" w:eastAsia="Calibri" w:hAnsi="Calibri"/>
          <w:color w:val="222222"/>
          <w:sz w:val="22"/>
          <w:szCs w:val="22"/>
        </w:rPr>
        <w:t xml:space="preserve">The AM playbook watches: report unopened two months running; offers not refreshed for a season; QBR skipped; attributed revenue flat two quarters. Any two → a recovery play: in-person report review, a fresh quick-win campaign, or a re-onboarding of Config offers. We run retention marketing on ourselves.</w:t>
      </w:r>
    </w:p>
    <w:p>
      <w:pPr>
        <w:pStyle w:val="Heading1"/>
        <w:spacing w:after="160" w:before="320"/>
      </w:pPr>
      <w:r>
        <w:rPr>
          <w:rFonts w:ascii="Cambria" w:cs="Cambria" w:eastAsia="Cambria" w:hAnsi="Cambria"/>
          <w:b/>
          <w:bCs/>
          <w:color w:val="21295C"/>
          <w:sz w:val="32"/>
          <w:szCs w:val="32"/>
        </w:rPr>
        <w:t xml:space="preserve">16. Maximizing SSP’s Return</w:t>
      </w:r>
    </w:p>
    <w:p>
      <w:pPr>
        <w:pStyle w:val="Heading2"/>
        <w:spacing w:after="120" w:before="240"/>
      </w:pPr>
      <w:r>
        <w:rPr>
          <w:rFonts w:ascii="Cambria" w:cs="Cambria" w:eastAsia="Cambria" w:hAnsi="Cambria"/>
          <w:b/>
          <w:bCs/>
          <w:color w:val="065A82"/>
          <w:sz w:val="26"/>
          <w:szCs w:val="26"/>
        </w:rPr>
        <w:t xml:space="preserve">16.1 The tier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60"/>
      </w:tblGrid>
      <w:tr>
        <w:trPr>
          <w:tblHeader/>
        </w:trPr>
        <w:tc>
          <w:tcPr>
            <w:tcW w:type="dxa" w:w="17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Tier</w:t>
            </w:r>
          </w:p>
        </w:tc>
        <w:tc>
          <w:tcPr>
            <w:tcW w:type="dxa" w:w="46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Contents</w:t>
            </w:r>
          </w:p>
        </w:tc>
        <w:tc>
          <w:tcPr>
            <w:tcW w:type="dxa" w:w="30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Role</w:t>
            </w:r>
          </w:p>
        </w:tc>
      </w:tr>
      <w:tr>
        <w:tc>
          <w:tcPr>
            <w:tcW w:type="dxa" w:w="1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Engine (base)</w:t>
            </w:r>
          </w:p>
        </w:tc>
        <w:tc>
          <w:tcPr>
            <w:tcW w:type="dxa" w:w="46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The twelve-campaign lifecycle program + monthly attribution report</w:t>
            </w:r>
          </w:p>
        </w:tc>
        <w:tc>
          <w:tcPr>
            <w:tcW w:type="dxa" w:w="30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The beachhead — priced for easy dealer yes via Evosus referral</w:t>
            </w:r>
          </w:p>
        </w:tc>
      </w:tr>
      <w:tr>
        <w:tc>
          <w:tcPr>
            <w:tcW w:type="dxa" w:w="1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Growth</w:t>
            </w:r>
          </w:p>
        </w:tc>
        <w:tc>
          <w:tcPr>
            <w:tcW w:type="dxa" w:w="46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 retargeting audiences synced from segments (Google/Meta), GMB posting, review-response management</w:t>
            </w:r>
          </w:p>
        </w:tc>
        <w:tc>
          <w:tcPr>
            <w:tcW w:type="dxa" w:w="30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First expansion — sold from inside the monthly report</w:t>
            </w:r>
          </w:p>
        </w:tc>
      </w:tr>
      <w:tr>
        <w:tc>
          <w:tcPr>
            <w:tcW w:type="dxa" w:w="1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Full Stack</w:t>
            </w:r>
          </w:p>
        </w:tc>
        <w:tc>
          <w:tcPr>
            <w:tcW w:type="dxa" w:w="46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 website, SEO/AEO, paid media management, reputation — SSP’s existing agency services</w:t>
            </w:r>
          </w:p>
        </w:tc>
        <w:tc>
          <w:tcPr>
            <w:tcW w:type="dxa" w:w="30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The destination — the dealer becomes a full agency client</w:t>
            </w:r>
          </w:p>
        </w:tc>
      </w:tr>
    </w:tbl>
    <w:p>
      <w:pPr>
        <w:spacing w:after="160"/>
      </w:pPr>
    </w:p>
    <w:p>
      <w:pPr>
        <w:spacing w:after="120"/>
      </w:pPr>
      <w:r>
        <w:rPr>
          <w:rFonts w:ascii="Calibri" w:cs="Calibri" w:eastAsia="Calibri" w:hAnsi="Calibri"/>
          <w:color w:val="222222"/>
          <w:sz w:val="22"/>
          <w:szCs w:val="22"/>
        </w:rPr>
        <w:t xml:space="preserve">The report is the sales channel: each month’s single recommendation lives one tier up (“your reorder segment would convert 2× with a retargeting audience behind it”). No cold upsell — the data makes the case on a rhythm the dealer already trusts.</w:t>
      </w:r>
    </w:p>
    <w:p>
      <w:pPr>
        <w:pStyle w:val="Heading2"/>
        <w:spacing w:after="120" w:before="240"/>
      </w:pPr>
      <w:r>
        <w:rPr>
          <w:rFonts w:ascii="Cambria" w:cs="Cambria" w:eastAsia="Cambria" w:hAnsi="Cambria"/>
          <w:b/>
          <w:bCs/>
          <w:color w:val="065A82"/>
          <w:sz w:val="26"/>
          <w:szCs w:val="26"/>
        </w:rPr>
        <w:t xml:space="preserve">16.2 The referral flywheel</w:t>
      </w:r>
    </w:p>
    <w:p>
      <w:pPr>
        <w:spacing w:after="120"/>
      </w:pPr>
      <w:r>
        <w:rPr>
          <w:rFonts w:ascii="Calibri" w:cs="Calibri" w:eastAsia="Calibri" w:hAnsi="Calibri"/>
          <w:color w:val="222222"/>
          <w:sz w:val="22"/>
          <w:szCs w:val="22"/>
        </w:rPr>
        <w:t xml:space="preserve">Results → case studies → Evosus referrals of LOU dealers to SSP → more results; in parallel, SSP refers non-LOU pool/spa businesses to Evosus — the benefit Dan explicitly named. Every monthly scorecard to Evosus fuels their side of the flywheel. Terms (referral fees, any revenue share, exclusivity window) get finalized during the pilot with real numbers — SSP should ask for a defined exclusivity period as LOU’s marketing partner while the program proves out.</w:t>
      </w:r>
    </w:p>
    <w:p>
      <w:pPr>
        <w:pStyle w:val="Heading2"/>
        <w:spacing w:after="120" w:before="240"/>
      </w:pPr>
      <w:r>
        <w:rPr>
          <w:rFonts w:ascii="Cambria" w:cs="Cambria" w:eastAsia="Cambria" w:hAnsi="Cambria"/>
          <w:b/>
          <w:bCs/>
          <w:color w:val="065A82"/>
          <w:sz w:val="26"/>
          <w:szCs w:val="26"/>
        </w:rPr>
        <w:t xml:space="preserve">16.3 Productization economics</w:t>
      </w:r>
    </w:p>
    <w:p>
      <w:pPr>
        <w:spacing w:after="120"/>
      </w:pPr>
      <w:r>
        <w:rPr>
          <w:rFonts w:ascii="Calibri" w:cs="Calibri" w:eastAsia="Calibri" w:hAnsi="Calibri"/>
          <w:color w:val="222222"/>
          <w:sz w:val="22"/>
          <w:szCs w:val="22"/>
        </w:rPr>
        <w:t xml:space="preserve">The master snapshot is the asset: campaigns are built once and deployed N times, so marginal cost per dealer falls as the network grows while price holds — the margin engine. Protect it with the [SSP-CORE] discipline and the capacity checkpoint before each onboarding wave (per the capacity-model practice: named team members, real hours, before commitments).</w:t>
      </w:r>
    </w:p>
    <w:p>
      <w:pPr>
        <w:pStyle w:val="Heading1"/>
        <w:spacing w:after="160" w:before="320"/>
      </w:pPr>
      <w:r>
        <w:rPr>
          <w:rFonts w:ascii="Cambria" w:cs="Cambria" w:eastAsia="Cambria" w:hAnsi="Cambria"/>
          <w:b/>
          <w:bCs/>
          <w:color w:val="21295C"/>
          <w:sz w:val="32"/>
          <w:szCs w:val="32"/>
        </w:rPr>
        <w:t xml:space="preserve">17. Data Governance &amp; Compliance</w:t>
      </w:r>
    </w:p>
    <w:p>
      <w:pPr>
        <w:pStyle w:val="ListParagraph"/>
        <w:numPr>
          <w:ilvl w:val="0"/>
          <w:numId w:val="2"/>
        </w:numPr>
        <w:spacing w:after="80"/>
      </w:pPr>
      <w:r>
        <w:rPr>
          <w:rFonts w:ascii="Calibri" w:cs="Calibri" w:eastAsia="Calibri" w:hAnsi="Calibri"/>
          <w:b/>
          <w:bCs/>
          <w:color w:val="222222"/>
          <w:sz w:val="22"/>
          <w:szCs w:val="22"/>
        </w:rPr>
        <w:t xml:space="preserve">Scope: </w:t>
      </w:r>
      <w:r>
        <w:rPr>
          <w:rFonts w:ascii="Calibri" w:cs="Calibri" w:eastAsia="Calibri" w:hAnsi="Calibri"/>
          <w:color w:val="222222"/>
          <w:sz w:val="22"/>
          <w:szCs w:val="22"/>
        </w:rPr>
        <w:t xml:space="preserve">each dealer’s data is used solely for that dealer’s marketing to that dealer’s customers. No cross-dealer pooling or resale; cohort benchmarks use only anonymized aggregates.</w:t>
      </w:r>
    </w:p>
    <w:p>
      <w:pPr>
        <w:pStyle w:val="ListParagraph"/>
        <w:numPr>
          <w:ilvl w:val="0"/>
          <w:numId w:val="2"/>
        </w:numPr>
        <w:spacing w:after="80"/>
      </w:pPr>
      <w:r>
        <w:rPr>
          <w:rFonts w:ascii="Calibri" w:cs="Calibri" w:eastAsia="Calibri" w:hAnsi="Calibri"/>
          <w:b/>
          <w:bCs/>
          <w:color w:val="222222"/>
          <w:sz w:val="22"/>
          <w:szCs w:val="22"/>
        </w:rPr>
        <w:t xml:space="preserve">Chain: </w:t>
      </w:r>
      <w:r>
        <w:rPr>
          <w:rFonts w:ascii="Calibri" w:cs="Calibri" w:eastAsia="Calibri" w:hAnsi="Calibri"/>
          <w:color w:val="222222"/>
          <w:sz w:val="22"/>
          <w:szCs w:val="22"/>
        </w:rPr>
        <w:t xml:space="preserve">dealer authorizes Evosus→SSP sharing at enrollment; a three-party agreement records scope, security, and deletion. SSP drafts it (Phase 0).</w:t>
      </w:r>
    </w:p>
    <w:p>
      <w:pPr>
        <w:pStyle w:val="ListParagraph"/>
        <w:numPr>
          <w:ilvl w:val="0"/>
          <w:numId w:val="2"/>
        </w:numPr>
        <w:spacing w:after="80"/>
      </w:pPr>
      <w:r>
        <w:rPr>
          <w:rFonts w:ascii="Calibri" w:cs="Calibri" w:eastAsia="Calibri" w:hAnsi="Calibri"/>
          <w:b/>
          <w:bCs/>
          <w:color w:val="222222"/>
          <w:sz w:val="22"/>
          <w:szCs w:val="22"/>
        </w:rPr>
        <w:t xml:space="preserve">Email (CAN-SPAM): </w:t>
      </w:r>
      <w:r>
        <w:rPr>
          <w:rFonts w:ascii="Calibri" w:cs="Calibri" w:eastAsia="Calibri" w:hAnsi="Calibri"/>
          <w:color w:val="222222"/>
          <w:sz w:val="22"/>
          <w:szCs w:val="22"/>
        </w:rPr>
        <w:t xml:space="preserve">dealer identity on every send; working unsubscribe honored across all campaigns for that dealer.</w:t>
      </w:r>
    </w:p>
    <w:p>
      <w:pPr>
        <w:pStyle w:val="ListParagraph"/>
        <w:numPr>
          <w:ilvl w:val="0"/>
          <w:numId w:val="2"/>
        </w:numPr>
        <w:spacing w:after="80"/>
      </w:pPr>
      <w:r>
        <w:rPr>
          <w:rFonts w:ascii="Calibri" w:cs="Calibri" w:eastAsia="Calibri" w:hAnsi="Calibri"/>
          <w:b/>
          <w:bCs/>
          <w:color w:val="222222"/>
          <w:sz w:val="22"/>
          <w:szCs w:val="22"/>
        </w:rPr>
        <w:t xml:space="preserve">SMS (TCPA): </w:t>
      </w:r>
      <w:r>
        <w:rPr>
          <w:rFonts w:ascii="Calibri" w:cs="Calibri" w:eastAsia="Calibri" w:hAnsi="Calibri"/>
          <w:color w:val="222222"/>
          <w:sz w:val="22"/>
          <w:szCs w:val="22"/>
        </w:rPr>
        <w:t xml:space="preserve">sms-consent tag required; quiet hours 8am–8pm local; STOP honored instantly; transactional touches (the rating SMS) kept distinct from promotional sends.</w:t>
      </w:r>
    </w:p>
    <w:p>
      <w:pPr>
        <w:pStyle w:val="ListParagraph"/>
        <w:numPr>
          <w:ilvl w:val="0"/>
          <w:numId w:val="2"/>
        </w:numPr>
        <w:spacing w:after="80"/>
      </w:pPr>
      <w:r>
        <w:rPr>
          <w:rFonts w:ascii="Calibri" w:cs="Calibri" w:eastAsia="Calibri" w:hAnsi="Calibri"/>
          <w:b/>
          <w:bCs/>
          <w:color w:val="222222"/>
          <w:sz w:val="22"/>
          <w:szCs w:val="22"/>
        </w:rPr>
        <w:t xml:space="preserve">Payments: </w:t>
      </w:r>
      <w:r>
        <w:rPr>
          <w:rFonts w:ascii="Calibri" w:cs="Calibri" w:eastAsia="Calibri" w:hAnsi="Calibri"/>
          <w:color w:val="222222"/>
          <w:sz w:val="22"/>
          <w:szCs w:val="22"/>
        </w:rPr>
        <w:t xml:space="preserve">no payment data in any message, ever — the LOU customer portal is the only payment surface.</w:t>
      </w:r>
    </w:p>
    <w:p>
      <w:pPr>
        <w:pStyle w:val="ListParagraph"/>
        <w:numPr>
          <w:ilvl w:val="0"/>
          <w:numId w:val="2"/>
        </w:numPr>
        <w:spacing w:after="80"/>
      </w:pPr>
      <w:r>
        <w:rPr>
          <w:rFonts w:ascii="Calibri" w:cs="Calibri" w:eastAsia="Calibri" w:hAnsi="Calibri"/>
          <w:b/>
          <w:bCs/>
          <w:color w:val="222222"/>
          <w:sz w:val="22"/>
          <w:szCs w:val="22"/>
        </w:rPr>
        <w:t xml:space="preserve">Credentials: </w:t>
      </w:r>
      <w:r>
        <w:rPr>
          <w:rFonts w:ascii="Calibri" w:cs="Calibri" w:eastAsia="Calibri" w:hAnsi="Calibri"/>
          <w:color w:val="222222"/>
          <w:sz w:val="22"/>
          <w:szCs w:val="22"/>
        </w:rPr>
        <w:t xml:space="preserve">per-dealer API keys in env-ref storage; circuit breaker per dealer (3 consecutive 4xx); rotate the emailed acceptance key; define the production credential model with Evosus (ask #6).</w:t>
      </w:r>
    </w:p>
    <w:p>
      <w:pPr>
        <w:pStyle w:val="ListParagraph"/>
        <w:numPr>
          <w:ilvl w:val="0"/>
          <w:numId w:val="2"/>
        </w:numPr>
        <w:spacing w:after="80"/>
      </w:pPr>
      <w:r>
        <w:rPr>
          <w:rFonts w:ascii="Calibri" w:cs="Calibri" w:eastAsia="Calibri" w:hAnsi="Calibri"/>
          <w:b/>
          <w:bCs/>
          <w:color w:val="222222"/>
          <w:sz w:val="22"/>
          <w:szCs w:val="22"/>
        </w:rPr>
        <w:t xml:space="preserve">Exit: </w:t>
      </w:r>
      <w:r>
        <w:rPr>
          <w:rFonts w:ascii="Calibri" w:cs="Calibri" w:eastAsia="Calibri" w:hAnsi="Calibri"/>
          <w:color w:val="222222"/>
          <w:sz w:val="22"/>
          <w:szCs w:val="22"/>
        </w:rPr>
        <w:t xml:space="preserve">on disenrollment, campaigns stop and the dealer’s synced data is deleted from SSP systems within 30 days.</w:t>
      </w:r>
    </w:p>
    <w:p>
      <w:pPr>
        <w:pStyle w:val="Heading1"/>
        <w:spacing w:after="160" w:before="320"/>
      </w:pPr>
      <w:r>
        <w:rPr>
          <w:rFonts w:ascii="Cambria" w:cs="Cambria" w:eastAsia="Cambria" w:hAnsi="Cambria"/>
          <w:b/>
          <w:bCs/>
          <w:color w:val="21295C"/>
          <w:sz w:val="32"/>
          <w:szCs w:val="32"/>
        </w:rPr>
        <w:t xml:space="preserve">18.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Risk / question</w:t>
            </w:r>
          </w:p>
        </w:tc>
        <w:tc>
          <w:tcPr>
            <w:tcW w:type="dxa" w:w="46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Mitigation / owner</w:t>
            </w:r>
          </w:p>
        </w:tc>
      </w:tr>
      <w:tr>
        <w:tc>
          <w:tcPr>
            <w:tcW w:type="dxa" w:w="4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Rate limits unpublished; no pagination on list endpoints</w:t>
            </w:r>
          </w:p>
        </w:tc>
        <w:tc>
          <w:tcPr>
            <w:tcW w:type="dxa" w:w="46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Tight date windows; throttle; per-dealer circuit breaker; ask #6 (SSP eng)</w:t>
            </w:r>
          </w:p>
        </w:tc>
      </w:tr>
      <w:tr>
        <w:tc>
          <w:tcPr>
            <w:tcW w:type="dxa" w:w="4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Orders-by-date lists CREATED orders; campaigns need COMPLETED</w:t>
            </w:r>
          </w:p>
        </w:tc>
        <w:tc>
          <w:tcPr>
            <w:tcW w:type="dxa" w:w="46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Open-order ledger + status re-poll (7.2); ask #5; confirm status vocabulary with John (Eric)</w:t>
            </w:r>
          </w:p>
        </w:tc>
      </w:tr>
      <w:tr>
        <w:tc>
          <w:tcPr>
            <w:tcW w:type="dxa" w:w="4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Data normalization traps: US date strings, money as formatted strings, 18-digit string IDs, DOC#### shared prefix, displayName only on work orders</w:t>
            </w:r>
          </w:p>
        </w:tc>
        <w:tc>
          <w:tcPr>
            <w:tcW w:type="dxa" w:w="46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Normalization layer specified in Appendix A gotchas (SSP eng)</w:t>
            </w:r>
          </w:p>
        </w:tc>
      </w:tr>
      <w:tr>
        <w:tc>
          <w:tcPr>
            <w:tcW w:type="dxa" w:w="4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GHL snapshot travel of custom-object schemas unverified</w:t>
            </w:r>
          </w:p>
        </w:tc>
        <w:tc>
          <w:tcPr>
            <w:tcW w:type="dxa" w:w="46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Phase 0 verification; proven provisioning-script fallback (SSP eng)</w:t>
            </w:r>
          </w:p>
        </w:tc>
      </w:tr>
      <w:tr>
        <w:tc>
          <w:tcPr>
            <w:tcW w:type="dxa" w:w="4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“WebSocket” vs webhook ambiguity in John’s 8/12 note</w:t>
            </w:r>
          </w:p>
        </w:tc>
        <w:tc>
          <w:tcPr>
            <w:tcW w:type="dxa" w:w="46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Clarify in Eric’s reply; Appendix C spec works for either (Eric)</w:t>
            </w:r>
          </w:p>
        </w:tc>
      </w:tr>
      <w:tr>
        <w:tc>
          <w:tcPr>
            <w:tcW w:type="dxa" w:w="4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Dealer offer-approval becomes the bottleneck at scale</w:t>
            </w:r>
          </w:p>
        </w:tc>
        <w:tc>
          <w:tcPr>
            <w:tcW w:type="dxa" w:w="46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Config values + quarterly QBR approvals, not per-send approvals (AM practice)</w:t>
            </w:r>
          </w:p>
        </w:tc>
      </w:tr>
      <w:tr>
        <w:tc>
          <w:tcPr>
            <w:tcW w:type="dxa" w:w="4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Partnership terms open: referral fees, exclusivity, naming</w:t>
            </w:r>
          </w:p>
        </w:tc>
        <w:tc>
          <w:tcPr>
            <w:tcW w:type="dxa" w:w="46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Pilot-period decision with real numbers; SSP asks for an exclusivity window (Pam)</w:t>
            </w:r>
          </w:p>
        </w:tc>
      </w:tr>
      <w:tr>
        <w:tc>
          <w:tcPr>
            <w:tcW w:type="dxa" w:w="47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Consent quality of dealer lists varies</w:t>
            </w:r>
          </w:p>
        </w:tc>
        <w:tc>
          <w:tcPr>
            <w:tcW w:type="dxa" w:w="46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Onboarding consent audit; email-first posture; sms-consent gating (AM)</w:t>
            </w:r>
          </w:p>
        </w:tc>
      </w:tr>
      <w:tr>
        <w:tc>
          <w:tcPr>
            <w:tcW w:type="dxa" w:w="47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Subscription fork undecided (nudge vs. true auto-ship)</w:t>
            </w:r>
          </w:p>
        </w:tc>
        <w:tc>
          <w:tcPr>
            <w:tcW w:type="dxa" w:w="46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Ship the nudge; auto-ship is a Phase 3 product decision needing payments + write-back (Pam/Eric)</w:t>
            </w:r>
          </w:p>
        </w:tc>
      </w:tr>
    </w:tbl>
    <w:p>
      <w:pPr>
        <w:pStyle w:val="Heading1"/>
        <w:spacing w:after="160" w:before="320"/>
      </w:pPr>
      <w:r>
        <w:rPr>
          <w:rFonts w:ascii="Cambria" w:cs="Cambria" w:eastAsia="Cambria" w:hAnsi="Cambria"/>
          <w:b/>
          <w:bCs/>
          <w:color w:val="21295C"/>
          <w:sz w:val="32"/>
          <w:szCs w:val="32"/>
        </w:rPr>
        <w:t xml:space="preserve">19. Next Steps</w:t>
      </w:r>
    </w:p>
    <w:p>
      <w:pPr>
        <w:pStyle w:val="Heading3"/>
        <w:spacing w:after="100" w:before="180"/>
      </w:pPr>
      <w:r>
        <w:rPr>
          <w:rFonts w:ascii="Cambria" w:cs="Cambria" w:eastAsia="Cambria" w:hAnsi="Cambria"/>
          <w:b/>
          <w:bCs/>
          <w:color w:val="1C7293"/>
          <w:sz w:val="23"/>
          <w:szCs w:val="23"/>
        </w:rPr>
        <w:t xml:space="preserve">This week</w:t>
      </w:r>
    </w:p>
    <w:p>
      <w:pPr>
        <w:pStyle w:val="ListParagraph"/>
        <w:numPr>
          <w:ilvl w:val="0"/>
          <w:numId w:val="2"/>
        </w:numPr>
        <w:spacing w:after="80"/>
      </w:pPr>
      <w:r>
        <w:rPr>
          <w:rFonts w:ascii="Calibri" w:cs="Calibri" w:eastAsia="Calibri" w:hAnsi="Calibri"/>
          <w:color w:val="222222"/>
          <w:sz w:val="22"/>
          <w:szCs w:val="22"/>
        </w:rPr>
        <w:t xml:space="preserve">Eric replies to John (interim API yes + status vocabulary + completed-order handling + test cases). Ask for key rotation.</w:t>
      </w:r>
    </w:p>
    <w:p>
      <w:pPr>
        <w:pStyle w:val="ListParagraph"/>
        <w:numPr>
          <w:ilvl w:val="0"/>
          <w:numId w:val="2"/>
        </w:numPr>
        <w:spacing w:after="80"/>
      </w:pPr>
      <w:r>
        <w:rPr>
          <w:rFonts w:ascii="Calibri" w:cs="Calibri" w:eastAsia="Calibri" w:hAnsi="Calibri"/>
          <w:color w:val="222222"/>
          <w:sz w:val="22"/>
          <w:szCs w:val="22"/>
        </w:rPr>
        <w:t xml:space="preserve">Team review of this document — approve the twelve-campaign portfolio, wave order, and schema additions.</w:t>
      </w:r>
    </w:p>
    <w:p>
      <w:pPr>
        <w:pStyle w:val="Heading3"/>
        <w:spacing w:after="100" w:before="180"/>
      </w:pPr>
      <w:r>
        <w:rPr>
          <w:rFonts w:ascii="Cambria" w:cs="Cambria" w:eastAsia="Cambria" w:hAnsi="Cambria"/>
          <w:b/>
          <w:bCs/>
          <w:color w:val="1C7293"/>
          <w:sz w:val="23"/>
          <w:szCs w:val="23"/>
        </w:rPr>
        <w:t xml:space="preserve">Next 30 days</w:t>
      </w:r>
    </w:p>
    <w:p>
      <w:pPr>
        <w:pStyle w:val="ListParagraph"/>
        <w:numPr>
          <w:ilvl w:val="0"/>
          <w:numId w:val="2"/>
        </w:numPr>
        <w:spacing w:after="80"/>
      </w:pPr>
      <w:r>
        <w:rPr>
          <w:rFonts w:ascii="Calibri" w:cs="Calibri" w:eastAsia="Calibri" w:hAnsi="Calibri"/>
          <w:color w:val="222222"/>
          <w:sz w:val="22"/>
          <w:szCs w:val="22"/>
        </w:rPr>
        <w:t xml:space="preserve">Phase 0 build complete (master account, connector skeleton, mock demo). Pam×Dan working session using Sections 5, 9, 13.1, and 16.2 as the agenda.</w:t>
      </w:r>
    </w:p>
    <w:p>
      <w:pPr>
        <w:pStyle w:val="ListParagraph"/>
        <w:numPr>
          <w:ilvl w:val="0"/>
          <w:numId w:val="2"/>
        </w:numPr>
        <w:spacing w:after="80"/>
      </w:pPr>
      <w:r>
        <w:rPr>
          <w:rFonts w:ascii="Calibri" w:cs="Calibri" w:eastAsia="Calibri" w:hAnsi="Calibri"/>
          <w:color w:val="222222"/>
          <w:sz w:val="22"/>
          <w:szCs w:val="22"/>
        </w:rPr>
        <w:t xml:space="preserve">AAA Pools onboarding begins when the orders-by-date API lands.</w:t>
      </w:r>
    </w:p>
    <w:p>
      <w:pPr>
        <w:pStyle w:val="Heading3"/>
        <w:spacing w:after="100" w:before="180"/>
      </w:pPr>
      <w:r>
        <w:rPr>
          <w:rFonts w:ascii="Cambria" w:cs="Cambria" w:eastAsia="Cambria" w:hAnsi="Cambria"/>
          <w:b/>
          <w:bCs/>
          <w:color w:val="1C7293"/>
          <w:sz w:val="23"/>
          <w:szCs w:val="23"/>
        </w:rPr>
        <w:t xml:space="preserve">Next 90 days</w:t>
      </w:r>
    </w:p>
    <w:p>
      <w:pPr>
        <w:pStyle w:val="ListParagraph"/>
        <w:numPr>
          <w:ilvl w:val="0"/>
          <w:numId w:val="2"/>
        </w:numPr>
        <w:spacing w:after="80"/>
      </w:pPr>
      <w:r>
        <w:rPr>
          <w:rFonts w:ascii="Calibri" w:cs="Calibri" w:eastAsia="Calibri" w:hAnsi="Calibri"/>
          <w:color w:val="222222"/>
          <w:sz w:val="22"/>
          <w:szCs w:val="22"/>
        </w:rPr>
        <w:t xml:space="preserve">Pilot through wave 3; first attribution reports; cohort selection from Evosus intros; partnership terms and pricing tiers finalized; joint case study drafted.</w:t>
      </w:r>
    </w:p>
    <w:p>
      <w:r>
        <w:br w:type="page"/>
      </w:r>
    </w:p>
    <w:p>
      <w:pPr>
        <w:pStyle w:val="Heading1"/>
        <w:spacing w:after="160" w:before="320"/>
      </w:pPr>
      <w:r>
        <w:rPr>
          <w:rFonts w:ascii="Cambria" w:cs="Cambria" w:eastAsia="Cambria" w:hAnsi="Cambria"/>
          <w:b/>
          <w:bCs/>
          <w:color w:val="21295C"/>
          <w:sz w:val="32"/>
          <w:szCs w:val="32"/>
        </w:rPr>
        <w:t xml:space="preserve">Appendix A — LOU API Quick Reference (audited 8/21)</w:t>
      </w:r>
    </w:p>
    <w:p>
      <w:pPr>
        <w:spacing w:after="120"/>
      </w:pPr>
      <w:r>
        <w:rPr>
          <w:rFonts w:ascii="Calibri" w:cs="Calibri" w:eastAsia="Calibri" w:hAnsi="Calibri"/>
          <w:color w:val="222222"/>
          <w:sz w:val="22"/>
          <w:szCs w:val="22"/>
        </w:rPr>
        <w:t xml:space="preserve">Source: full crawl of https://louapi.evosus.com/ documentation. Base URL https://louapi.evosus.com/api/v1/ (acceptance: lou-accp.evosus.com). Auth: single header APIKey: {key}; a key+token pairing and developer registration exist on the LOU admin side. Envelope: {statusCode, status, messageCode, messageText, response}. No webhooks, no pagination, rate limits unpublished.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Endpoint</w:t>
            </w:r>
          </w:p>
        </w:tc>
        <w:tc>
          <w:tcPr>
            <w:tcW w:type="dxa" w:w="19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Key request</w:t>
            </w:r>
          </w:p>
        </w:tc>
        <w:tc>
          <w:tcPr>
            <w:tcW w:type="dxa" w:w="48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Key response fields</w:t>
            </w:r>
          </w:p>
        </w:tc>
      </w:tr>
      <w:tr>
        <w:tc>
          <w:tcPr>
            <w:tcW w:type="dxa" w:w="26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GET /orders/sales/{id}</w:t>
            </w:r>
          </w:p>
        </w:tc>
        <w:tc>
          <w:tcPr>
            <w:tcW w:type="dxa" w:w="1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order ID (vanity, e.g. DOC3518)</w:t>
            </w:r>
          </w:p>
        </w:tc>
        <w:tc>
          <w:tcPr>
            <w:tcW w:type="dxa" w:w="4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documentVanityID, orderType (“Sale”), orderStatus, orderTotal, date, customerInfo (customerVanityID, contactEmail, contactPhone, bill/ship address), orderSKUs (skuId, sku, quantity, price, subtotal, discount, description), taxCode (taxRate, taxAmount), payments, scheduleTasks</w:t>
            </w:r>
          </w:p>
        </w:tc>
      </w:tr>
      <w:tr>
        <w:tc>
          <w:tcPr>
            <w:tcW w:type="dxa" w:w="26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GET /orders/work/{id}</w:t>
            </w:r>
          </w:p>
        </w:tc>
        <w:tc>
          <w:tcPr>
            <w:tcW w:type="dxa" w:w="19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order ID</w:t>
            </w:r>
          </w:p>
        </w:tc>
        <w:tc>
          <w:tcPr>
            <w:tcW w:type="dxa" w:w="4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as sales, plus taskType, scheduleDivision, workOrderRequest, previousVisitNotes; customerInfo includes displayName (sales orders: resolve the name via /customers/{id})</w:t>
            </w:r>
          </w:p>
        </w:tc>
      </w:tr>
      <w:tr>
        <w:tc>
          <w:tcPr>
            <w:tcW w:type="dxa" w:w="26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GET /customers/{id}</w:t>
            </w:r>
          </w:p>
        </w:tc>
        <w:tc>
          <w:tcPr>
            <w:tcW w:type="dxa" w:w="1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customer ID</w:t>
            </w:r>
          </w:p>
        </w:tc>
        <w:tc>
          <w:tcPr>
            <w:tcW w:type="dxa" w:w="4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louCustomerID, name/company fields, phoneNumber, email, addresses, customerBalanceDue (formatted string), customerPortalURL, billMeLater*, parentCustomer*</w:t>
            </w:r>
          </w:p>
        </w:tc>
      </w:tr>
      <w:tr>
        <w:tc>
          <w:tcPr>
            <w:tcW w:type="dxa" w:w="26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GET /customers/{id}/transactions</w:t>
            </w:r>
          </w:p>
        </w:tc>
        <w:tc>
          <w:tcPr>
            <w:tcW w:type="dxa" w:w="19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startdate, enddate (required)</w:t>
            </w:r>
          </w:p>
        </w:tc>
        <w:tc>
          <w:tcPr>
            <w:tcW w:type="dxa" w:w="4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date, source (“Order” / “Recurring Order”), description, total, status, customerPortalURL</w:t>
            </w:r>
          </w:p>
        </w:tc>
      </w:tr>
      <w:tr>
        <w:tc>
          <w:tcPr>
            <w:tcW w:type="dxa" w:w="26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GET /customers/{id}/skus</w:t>
            </w:r>
          </w:p>
        </w:tc>
        <w:tc>
          <w:tcPr>
            <w:tcW w:type="dxa" w:w="1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startdate, enddate</w:t>
            </w:r>
          </w:p>
        </w:tc>
        <w:tc>
          <w:tcPr>
            <w:tcW w:type="dxa" w:w="4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invoiceDate, invoiceNo (SAL/WKO####), invoiceType, sku, skuDescription, skuCategory, skuType, quantity, unit, subtotal, salesPersonnel, saleDate</w:t>
            </w:r>
          </w:p>
        </w:tc>
      </w:tr>
      <w:tr>
        <w:tc>
          <w:tcPr>
            <w:tcW w:type="dxa" w:w="26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GET /product/catalog + /product/{sku}</w:t>
            </w:r>
          </w:p>
        </w:tc>
        <w:tc>
          <w:tcPr>
            <w:tcW w:type="dxa" w:w="19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filters: ecommerce, category1..4, tag</w:t>
            </w:r>
          </w:p>
        </w:tc>
        <w:tc>
          <w:tcPr>
            <w:tcW w:type="dxa" w:w="4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onHand, available, onOrder, onEstimate, sellPrice, clearance, discontinued, pictures, kits, attributes</w:t>
            </w:r>
          </w:p>
        </w:tc>
      </w:tr>
      <w:tr>
        <w:tc>
          <w:tcPr>
            <w:tcW w:type="dxa" w:w="26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POST /customers, /customers/duplicate-check</w:t>
            </w:r>
          </w:p>
        </w:tc>
        <w:tc>
          <w:tcPr>
            <w:tcW w:type="dxa" w:w="19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emails[], phones[]</w:t>
            </w:r>
          </w:p>
        </w:tc>
        <w:tc>
          <w:tcPr>
            <w:tcW w:type="dxa" w:w="48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duplicate candidates with duplicateMatchingPoints — useful for GHL↔LOU matching</w:t>
            </w:r>
          </w:p>
        </w:tc>
      </w:tr>
      <w:tr>
        <w:tc>
          <w:tcPr>
            <w:tcW w:type="dxa" w:w="26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Company lookups</w:t>
            </w:r>
          </w:p>
        </w:tc>
        <w:tc>
          <w:tcPr>
            <w:tcW w:type="dxa" w:w="19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t>
            </w:r>
          </w:p>
        </w:tc>
        <w:tc>
          <w:tcPr>
            <w:tcW w:type="dxa" w:w="48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/companies/document-types (“Work Order”, “Sales Order”, “POS”, “Estimate”), schedule-task-types, schedule-divisions, departments, payment-methods</w:t>
            </w:r>
          </w:p>
        </w:tc>
      </w:tr>
    </w:tbl>
    <w:p>
      <w:pPr>
        <w:spacing w:after="160"/>
      </w:pPr>
    </w:p>
    <w:p>
      <w:pPr>
        <w:spacing w:after="120"/>
      </w:pPr>
      <w:r>
        <w:rPr>
          <w:rFonts w:ascii="Calibri" w:cs="Calibri" w:eastAsia="Calibri" w:hAnsi="Calibri"/>
          <w:color w:val="222222"/>
          <w:sz w:val="22"/>
          <w:szCs w:val="22"/>
        </w:rPr>
        <w:t xml:space="preserve">Gotchas for the sync: dates are US-format strings; customerBalanceDue arrives as a formatted string (“-$2,219.89”) while order money is numeric; keep all IDs as strings (some 18-digit); DOC#### vanity IDs are shared across Sales and Work — route by the orders-by-date list’s Type field; URL-encode parameters; orderStatus values observed: “Pending,” “Complete” (no documented enumeration — confirm with John); line-item discount fields were added 8/25 per the change log.</w:t>
      </w:r>
    </w:p>
    <w:p>
      <w:pPr>
        <w:pStyle w:val="Heading1"/>
        <w:spacing w:after="160" w:before="320"/>
      </w:pPr>
      <w:r>
        <w:rPr>
          <w:rFonts w:ascii="Cambria" w:cs="Cambria" w:eastAsia="Cambria" w:hAnsi="Cambria"/>
          <w:b/>
          <w:bCs/>
          <w:color w:val="21295C"/>
          <w:sz w:val="32"/>
          <w:szCs w:val="32"/>
        </w:rPr>
        <w:t xml:space="preserve">Appendix B —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1500"/>
        <w:gridCol w:w="3760"/>
      </w:tblGrid>
      <w:tr>
        <w:trPr>
          <w:tblHeader/>
        </w:trPr>
        <w:tc>
          <w:tcPr>
            <w:tcW w:type="dxa" w:w="41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Document</w:t>
            </w:r>
          </w:p>
        </w:tc>
        <w:tc>
          <w:tcPr>
            <w:tcW w:type="dxa" w:w="150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Date</w:t>
            </w:r>
          </w:p>
        </w:tc>
        <w:tc>
          <w:tcPr>
            <w:tcW w:type="dxa" w:w="3760"/>
            <w:shd w:fill="21295C"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Governs</w:t>
            </w:r>
          </w:p>
        </w:tc>
      </w:tr>
      <w:tr>
        <w:tc>
          <w:tcPr>
            <w:tcW w:type="dxa" w:w="4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Engineering Spec v3 (LOU × GHL Dealer Growth Engine)</w:t>
            </w:r>
          </w:p>
        </w:tc>
        <w:tc>
          <w:tcPr>
            <w:tcW w:type="dxa" w:w="1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Jun 12 (rev Jul 22)</w:t>
            </w:r>
          </w:p>
        </w:tc>
        <w:tc>
          <w:tcPr>
            <w:tcW w:type="dxa" w:w="3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Architecture, sync design, GHL constants, snapshot model — the technical authority</w:t>
            </w:r>
          </w:p>
        </w:tc>
      </w:tr>
      <w:tr>
        <w:tc>
          <w:tcPr>
            <w:tcW w:type="dxa" w:w="4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Evosus Dealer Lifecycle Engine (strategy)</w:t>
            </w:r>
          </w:p>
        </w:tc>
        <w:tc>
          <w:tcPr>
            <w:tcW w:type="dxa" w:w="1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Jun 18</w:t>
            </w:r>
          </w:p>
        </w:tc>
        <w:tc>
          <w:tcPr>
            <w:tcW w:type="dxa" w:w="37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Dealer ICP, revenue physics, use-case catalog, schema recommendations</w:t>
            </w:r>
          </w:p>
        </w:tc>
      </w:tr>
      <w:tr>
        <w:tc>
          <w:tcPr>
            <w:tcW w:type="dxa" w:w="4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Phase 2 Build Pack (AAA Pools pilot)</w:t>
            </w:r>
          </w:p>
        </w:tc>
        <w:tc>
          <w:tcPr>
            <w:tcW w:type="dxa" w:w="1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Jun 17</w:t>
            </w:r>
          </w:p>
        </w:tc>
        <w:tc>
          <w:tcPr>
            <w:tcW w:type="dxa" w:w="3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Workflow-level specs for chemical reorder, estimate follow-up, balance-due; the six API questions</w:t>
            </w:r>
          </w:p>
        </w:tc>
      </w:tr>
      <w:tr>
        <w:tc>
          <w:tcPr>
            <w:tcW w:type="dxa" w:w="41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SSP-LOU-GHL meeting brief (PDF)</w:t>
            </w:r>
          </w:p>
        </w:tc>
        <w:tc>
          <w:tcPr>
            <w:tcW w:type="dxa" w:w="150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Jun 11</w:t>
            </w:r>
          </w:p>
        </w:tc>
        <w:tc>
          <w:tcPr>
            <w:tcW w:type="dxa" w:w="3760"/>
            <w:shd w:fill="EAF2F6"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Original architecture scoping; superseded by Spec v3</w:t>
            </w:r>
          </w:p>
        </w:tc>
      </w:tr>
      <w:tr>
        <w:tc>
          <w:tcPr>
            <w:tcW w:type="dxa" w:w="41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This document — Marketing Plan &amp; Campaign Design Book v2</w:t>
            </w:r>
          </w:p>
        </w:tc>
        <w:tc>
          <w:tcPr>
            <w:tcW w:type="dxa" w:w="150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Aug 21</w:t>
            </w:r>
          </w:p>
        </w:tc>
        <w:tc>
          <w:tcPr>
            <w:tcW w:type="dxa" w:w="3760"/>
            <w:shd w:fill="FFFFFF" w:val="clear"/>
            <w:tcMar>
              <w:top w:type="dxa" w:w="60"/>
              <w:left w:type="dxa" w:w="100"/>
              <w:bottom w:type="dxa" w:w="60"/>
              <w:right w:type="dxa" w:w="100"/>
            </w:tcMar>
          </w:tcPr>
          <w:p>
            <w:pPr>
              <w:spacing w:after="40"/>
            </w:pPr>
            <w:r>
              <w:rPr>
                <w:rFonts w:ascii="Calibri" w:cs="Calibri" w:eastAsia="Calibri" w:hAnsi="Calibri"/>
                <w:color w:val="222222"/>
                <w:sz w:val="20"/>
                <w:szCs w:val="20"/>
              </w:rPr>
              <w:t xml:space="preserve">Program strategy, the twelve campaign designs, orchestration, build sequence, engagement playbook, partnership layer</w:t>
            </w:r>
          </w:p>
        </w:tc>
      </w:tr>
    </w:tbl>
    <w:p>
      <w:pPr>
        <w:spacing w:after="160"/>
      </w:pPr>
    </w:p>
    <w:p>
      <w:pPr>
        <w:spacing w:after="120"/>
      </w:pPr>
      <w:r>
        <w:rPr>
          <w:rFonts w:ascii="Calibri" w:cs="Calibri" w:eastAsia="Calibri" w:hAnsi="Calibri"/>
          <w:color w:val="222222"/>
          <w:sz w:val="22"/>
          <w:szCs w:val="22"/>
        </w:rPr>
        <w:t xml:space="preserve">Where documents differ (e.g., whether decision logic lives in the connector or in GHL workflows), Engineering Spec v3 is the tiebreaker for implementation; this document is the tiebreaker for campaign content and partner-facing framing.</w:t>
      </w:r>
    </w:p>
    <w:p>
      <w:pPr>
        <w:pStyle w:val="Heading1"/>
        <w:spacing w:after="160" w:before="320"/>
      </w:pPr>
      <w:r>
        <w:rPr>
          <w:rFonts w:ascii="Cambria" w:cs="Cambria" w:eastAsia="Cambria" w:hAnsi="Cambria"/>
          <w:b/>
          <w:bCs/>
          <w:color w:val="21295C"/>
          <w:sz w:val="32"/>
          <w:szCs w:val="32"/>
        </w:rPr>
        <w:t xml:space="preserve">Appendix C — Preserved Webhook Spec (Eric → Evosus, July 1)</w:t>
      </w:r>
    </w:p>
    <w:p>
      <w:pPr>
        <w:spacing w:after="120"/>
      </w:pPr>
      <w:r>
        <w:rPr>
          <w:rFonts w:ascii="Calibri" w:cs="Calibri" w:eastAsia="Calibri" w:hAnsi="Calibri"/>
          <w:color w:val="222222"/>
          <w:sz w:val="22"/>
          <w:szCs w:val="22"/>
        </w:rPr>
        <w:t xml:space="preserve">Kept on file for the push phase; works for a webhook or as the payload contract for the WebSocket solution John referenced.</w:t>
      </w:r>
    </w:p>
    <w:p>
      <w:pPr>
        <w:pStyle w:val="ListParagraph"/>
        <w:numPr>
          <w:ilvl w:val="0"/>
          <w:numId w:val="2"/>
        </w:numPr>
        <w:spacing w:after="80"/>
      </w:pPr>
      <w:r>
        <w:rPr>
          <w:rFonts w:ascii="Calibri" w:cs="Calibri" w:eastAsia="Calibri" w:hAnsi="Calibri"/>
          <w:color w:val="222222"/>
          <w:sz w:val="22"/>
          <w:szCs w:val="22"/>
        </w:rPr>
        <w:t xml:space="preserve">POST https://webhook.ssptx.net/webhook/lou-order</w:t>
      </w:r>
    </w:p>
    <w:p>
      <w:pPr>
        <w:pStyle w:val="ListParagraph"/>
        <w:numPr>
          <w:ilvl w:val="0"/>
          <w:numId w:val="2"/>
        </w:numPr>
        <w:spacing w:after="80"/>
      </w:pPr>
      <w:r>
        <w:rPr>
          <w:rFonts w:ascii="Calibri" w:cs="Calibri" w:eastAsia="Calibri" w:hAnsi="Calibri"/>
          <w:color w:val="222222"/>
          <w:sz w:val="22"/>
          <w:szCs w:val="22"/>
        </w:rPr>
        <w:t xml:space="preserve">Headers: Content-Type: application/json; X-Dealer-Token: unique per dealer (SSP issues after receiving dealer API credentials; identifies the dealer and authenticates LOU).</w:t>
      </w:r>
    </w:p>
    <w:p>
      <w:pPr>
        <w:pStyle w:val="ListParagraph"/>
        <w:numPr>
          <w:ilvl w:val="0"/>
          <w:numId w:val="2"/>
        </w:numPr>
        <w:spacing w:after="80"/>
      </w:pPr>
      <w:r>
        <w:rPr>
          <w:rFonts w:ascii="Calibri" w:cs="Calibri" w:eastAsia="Calibri" w:hAnsi="Calibri"/>
          <w:color w:val="222222"/>
          <w:sz w:val="22"/>
          <w:szCs w:val="22"/>
        </w:rPr>
        <w:t xml:space="preserve">Body: { “documentVanityID”: “DOC3518”, “orderType”: “Work” } — minimal by design; SSP calls back for full detail.</w:t>
      </w:r>
    </w:p>
    <w:p>
      <w:pPr>
        <w:pStyle w:val="ListParagraph"/>
        <w:numPr>
          <w:ilvl w:val="0"/>
          <w:numId w:val="2"/>
        </w:numPr>
        <w:spacing w:after="80"/>
      </w:pPr>
      <w:r>
        <w:rPr>
          <w:rFonts w:ascii="Calibri" w:cs="Calibri" w:eastAsia="Calibri" w:hAnsi="Calibri"/>
          <w:color w:val="222222"/>
          <w:sz w:val="22"/>
          <w:szCs w:val="22"/>
        </w:rPr>
        <w:t xml:space="preserve">Eric’s three open questions, still valid for the push phase: (1) does the event fire on order completion; (2) exact orderType strings; (3) retry behavior if the receiver is briefly down.</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336946386ae436fef6a5d440d5f2ed5a21dba9.png"/><Relationship Id="rId8" Type="http://schemas.openxmlformats.org/officeDocument/2006/relationships/image" Target="media/66be66cf3929186447a6ce3ebafc6fbde1fea6d4.png"/><Relationship Id="rId9" Type="http://schemas.openxmlformats.org/officeDocument/2006/relationships/image" Target="media/53d57db169d7b61590de7e853b46b6daf6a27007.png"/><Relationship Id="rId10" Type="http://schemas.openxmlformats.org/officeDocument/2006/relationships/image" Target="media/5ab80feadbcd2e98cb28c081488675e4a51577d1.png"/><Relationship Id="rId11" Type="http://schemas.openxmlformats.org/officeDocument/2006/relationships/image" Target="media/291e5bcca95dfbf2a96c9eae0ce1efcbff680477.png"/><Relationship Id="rId12" Type="http://schemas.openxmlformats.org/officeDocument/2006/relationships/image" Target="media/eb7ac7f2883cbcf30e95e94888ae4bbf2820dbf2.png"/><Relationship Id="rId13" Type="http://schemas.openxmlformats.org/officeDocument/2006/relationships/image" Target="media/d96bc2d088149c649e5c61017323dbead05ff28e.png"/><Relationship Id="rId14" Type="http://schemas.openxmlformats.org/officeDocument/2006/relationships/image" Target="media/ec80767951e61957b26048d82857f310bbc142f3.png"/><Relationship Id="rId15" Type="http://schemas.openxmlformats.org/officeDocument/2006/relationships/image" Target="media/2be3a4fd7220519a5a96f150fb9b91caf1d1dced.png"/><Relationship Id="rId16" Type="http://schemas.openxmlformats.org/officeDocument/2006/relationships/image" Target="media/0e570a5c857033b9930fef389441bd8a02023ee4.png"/><Relationship Id="rId17" Type="http://schemas.openxmlformats.org/officeDocument/2006/relationships/image" Target="media/c138dbafc688bc070d71e748228b0cba66cc0e7a.png"/><Relationship Id="rId18" Type="http://schemas.openxmlformats.org/officeDocument/2006/relationships/image" Target="media/2cb33ec3cf78cb983013b913bac9689d09b1cb1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2026-08-21T16:08:59.948Z</dcterms:created>
  <dcterms:modified xsi:type="dcterms:W3CDTF">2026-08-21T16:08:59.960Z</dcterms:modified>
</cp:coreProperties>
</file>

<file path=docProps/custom.xml><?xml version="1.0" encoding="utf-8"?>
<Properties xmlns="http://schemas.openxmlformats.org/officeDocument/2006/custom-properties" xmlns:vt="http://schemas.openxmlformats.org/officeDocument/2006/docPropsVTypes"/>
</file>