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mbria" w:cs="Cambria" w:eastAsia="Cambria" w:hAnsi="Cambria"/>
          <w:b/>
          <w:bCs/>
          <w:color w:val="21295C"/>
          <w:sz w:val="64"/>
          <w:szCs w:val="64"/>
        </w:rPr>
        <w:t xml:space="preserve">The LOU Growth Program</w:t>
      </w:r>
    </w:p>
    <w:p>
      <w:pPr>
        <w:spacing w:after="120"/>
        <w:jc w:val="center"/>
      </w:pPr>
      <w:r>
        <w:rPr>
          <w:rFonts w:ascii="Calibri" w:cs="Calibri" w:eastAsia="Calibri" w:hAnsi="Calibri"/>
          <w:color w:val="1C7293"/>
          <w:sz w:val="30"/>
          <w:szCs w:val="30"/>
        </w:rPr>
        <w:t xml:space="preserve">Data-Driven Marketing for Pool, Spa &amp; Hot Tub Dealers</w:t>
      </w:r>
    </w:p>
    <w:p>
      <w:pPr>
        <w:spacing w:after="2000"/>
        <w:jc w:val="center"/>
      </w:pPr>
      <w:r>
        <w:rPr>
          <w:rFonts w:ascii="Calibri" w:cs="Calibri" w:eastAsia="Calibri" w:hAnsi="Calibri"/>
          <w:color w:val="5A6B76"/>
          <w:sz w:val="24"/>
          <w:szCs w:val="24"/>
        </w:rPr>
        <w:t xml:space="preserve">A Partnership Program — Evosus × Small Screen Producer</w:t>
      </w:r>
    </w:p>
    <w:p>
      <w:pPr>
        <w:spacing w:after="80"/>
        <w:jc w:val="center"/>
      </w:pPr>
      <w:r>
        <w:rPr>
          <w:rFonts w:ascii="Calibri" w:cs="Calibri" w:eastAsia="Calibri" w:hAnsi="Calibri"/>
          <w:b/>
          <w:bCs/>
          <w:color w:val="222222"/>
          <w:sz w:val="22"/>
          <w:szCs w:val="22"/>
        </w:rPr>
        <w:t xml:space="preserve">Complete Marketing Plan — Draft for Partner Review</w:t>
      </w:r>
    </w:p>
    <w:p>
      <w:pPr>
        <w:jc w:val="center"/>
      </w:pPr>
      <w:r>
        <w:rPr>
          <w:rFonts w:ascii="Calibri" w:cs="Calibri" w:eastAsia="Calibri" w:hAnsi="Calibri"/>
          <w:color w:val="5A6B76"/>
          <w:sz w:val="20"/>
          <w:szCs w:val="20"/>
        </w:rPr>
        <w:t xml:space="preserve">August 2026  •  Confidential</w:t>
      </w:r>
    </w:p>
    <w:p>
      <w:r>
        <w:br w:type="page"/>
      </w:r>
    </w:p>
    <w:p>
      <w:pPr>
        <w:pStyle w:val="Heading1"/>
        <w:spacing w:after="160" w:before="320"/>
      </w:pPr>
      <w:r>
        <w:rPr>
          <w:rFonts w:ascii="Cambria" w:cs="Cambria" w:eastAsia="Cambria" w:hAnsi="Cambria"/>
          <w:b/>
          <w:bCs/>
          <w:color w:val="21295C"/>
          <w:sz w:val="32"/>
          <w:szCs w:val="32"/>
        </w:rPr>
        <w:t xml:space="preserve">1. Executive Summary</w:t>
      </w:r>
    </w:p>
    <w:p>
      <w:pPr>
        <w:spacing w:after="120"/>
      </w:pPr>
      <w:r>
        <w:rPr>
          <w:rFonts w:ascii="Calibri" w:cs="Calibri" w:eastAsia="Calibri" w:hAnsi="Calibri"/>
          <w:color w:val="222222"/>
          <w:sz w:val="22"/>
          <w:szCs w:val="22"/>
        </w:rPr>
        <w:t xml:space="preserve">Every completed order in LOU is a marketing moment that today goes unused. A new hot tub owner should hear from their dealer within days — with a welcome, a review request, and the accessories that fit exactly what they bought. A completed service call should become a five-star review or a rescued relationship. A customer who hasn’t ordered in a year should get a reason to come back before a competitor finds them.</w:t>
      </w:r>
    </w:p>
    <w:p>
      <w:pPr>
        <w:spacing w:after="120"/>
      </w:pPr>
      <w:r>
        <w:rPr>
          <w:rFonts w:ascii="Calibri" w:cs="Calibri" w:eastAsia="Calibri" w:hAnsi="Calibri"/>
          <w:color w:val="222222"/>
          <w:sz w:val="22"/>
          <w:szCs w:val="22"/>
        </w:rPr>
        <w:t xml:space="preserve">The LOU Growth Program connects LOU’s customer and transaction data to Small Screen Producer’s marketing engine (MyLeadHub) to make those moments automatic. Dealers enroll at no cost, authorize LOU to share their data securely, and receive fully managed lifecycle campaigns plus a monthly report that ties campaign activity to actual orders recorded in LOU — closed-loop revenue attribution that most local marketing simply cannot offer.</w:t>
      </w:r>
    </w:p>
    <w:p>
      <w:pPr>
        <w:spacing w:after="120"/>
      </w:pPr>
      <w:r>
        <w:rPr>
          <w:rFonts w:ascii="Calibri" w:cs="Calibri" w:eastAsia="Calibri" w:hAnsi="Calibri"/>
          <w:color w:val="222222"/>
          <w:sz w:val="22"/>
          <w:szCs w:val="22"/>
        </w:rPr>
        <w:t xml:space="preserve">The plan below details nine campaign playbooks (seven runnable on the launch data set, two that define the next data triggers for the Evosus roadmap), the measurement model, a 90-day pilot with 3–5 dealers, and the rollout path from pilot to a scaled referral program.</w:t>
      </w:r>
    </w:p>
    <w:p>
      <w:pPr>
        <w:spacing w:after="60"/>
      </w:pPr>
      <w:r>
        <w:rPr>
          <w:rFonts w:ascii="Calibri" w:cs="Calibri" w:eastAsia="Calibri" w:hAnsi="Calibri"/>
          <w:b/>
          <w:bCs/>
          <w:color w:val="222222"/>
          <w:sz w:val="22"/>
          <w:szCs w:val="22"/>
        </w:rPr>
        <w:t xml:space="preserve">The three-party value exchange:</w:t>
      </w:r>
    </w:p>
    <w:p>
      <w:pPr>
        <w:pStyle w:val="ListParagraph"/>
        <w:numPr>
          <w:ilvl w:val="0"/>
          <w:numId w:val="2"/>
        </w:numPr>
        <w:spacing w:after="80"/>
      </w:pPr>
      <w:r>
        <w:rPr>
          <w:rFonts w:ascii="Calibri" w:cs="Calibri" w:eastAsia="Calibri" w:hAnsi="Calibri"/>
          <w:b/>
          <w:bCs/>
          <w:color w:val="222222"/>
          <w:sz w:val="22"/>
          <w:szCs w:val="22"/>
        </w:rPr>
        <w:t xml:space="preserve">Dealers </w:t>
      </w:r>
      <w:r>
        <w:rPr>
          <w:rFonts w:ascii="Calibri" w:cs="Calibri" w:eastAsia="Calibri" w:hAnsi="Calibri"/>
          <w:color w:val="222222"/>
          <w:sz w:val="22"/>
          <w:szCs w:val="22"/>
        </w:rPr>
        <w:t xml:space="preserve">get more showroom traffic, service bookings, ecommerce sales, and repeat business — with proof, and without lifting a finger.</w:t>
      </w:r>
    </w:p>
    <w:p>
      <w:pPr>
        <w:pStyle w:val="ListParagraph"/>
        <w:numPr>
          <w:ilvl w:val="0"/>
          <w:numId w:val="2"/>
        </w:numPr>
        <w:spacing w:after="80"/>
      </w:pPr>
      <w:r>
        <w:rPr>
          <w:rFonts w:ascii="Calibri" w:cs="Calibri" w:eastAsia="Calibri" w:hAnsi="Calibri"/>
          <w:b/>
          <w:bCs/>
          <w:color w:val="222222"/>
          <w:sz w:val="22"/>
          <w:szCs w:val="22"/>
        </w:rPr>
        <w:t xml:space="preserve">Evosus </w:t>
      </w:r>
      <w:r>
        <w:rPr>
          <w:rFonts w:ascii="Calibri" w:cs="Calibri" w:eastAsia="Calibri" w:hAnsi="Calibri"/>
          <w:color w:val="222222"/>
          <w:sz w:val="22"/>
          <w:szCs w:val="22"/>
        </w:rPr>
        <w:t xml:space="preserve">gets a differentiating reason to choose (and stay on) LOU, plus referrals of pool and spa businesses not yet on the platform.</w:t>
      </w:r>
    </w:p>
    <w:p>
      <w:pPr>
        <w:pStyle w:val="ListParagraph"/>
        <w:numPr>
          <w:ilvl w:val="0"/>
          <w:numId w:val="2"/>
        </w:numPr>
        <w:spacing w:after="80"/>
      </w:pPr>
      <w:r>
        <w:rPr>
          <w:rFonts w:ascii="Calibri" w:cs="Calibri" w:eastAsia="Calibri" w:hAnsi="Calibri"/>
          <w:b/>
          <w:bCs/>
          <w:color w:val="222222"/>
          <w:sz w:val="22"/>
          <w:szCs w:val="22"/>
        </w:rPr>
        <w:t xml:space="preserve">Small Screen Producer </w:t>
      </w:r>
      <w:r>
        <w:rPr>
          <w:rFonts w:ascii="Calibri" w:cs="Calibri" w:eastAsia="Calibri" w:hAnsi="Calibri"/>
          <w:color w:val="222222"/>
          <w:sz w:val="22"/>
          <w:szCs w:val="22"/>
        </w:rPr>
        <w:t xml:space="preserve">gets qualified dealer referrals and the data feed that makes its campaigns measurably effective.</w:t>
      </w:r>
    </w:p>
    <w:p>
      <w:pPr>
        <w:pStyle w:val="Heading1"/>
        <w:spacing w:after="160" w:before="320"/>
      </w:pPr>
      <w:r>
        <w:rPr>
          <w:rFonts w:ascii="Cambria" w:cs="Cambria" w:eastAsia="Cambria" w:hAnsi="Cambria"/>
          <w:b/>
          <w:bCs/>
          <w:color w:val="21295C"/>
          <w:sz w:val="32"/>
          <w:szCs w:val="32"/>
        </w:rPr>
        <w:t xml:space="preserve">2. The Opportunity</w:t>
      </w:r>
    </w:p>
    <w:p>
      <w:pPr>
        <w:spacing w:after="120"/>
      </w:pPr>
      <w:r>
        <w:rPr>
          <w:rFonts w:ascii="Calibri" w:cs="Calibri" w:eastAsia="Calibri" w:hAnsi="Calibri"/>
          <w:color w:val="222222"/>
          <w:sz w:val="22"/>
          <w:szCs w:val="22"/>
        </w:rPr>
        <w:t xml:space="preserve">Pool, spa, and hot tub dealers live on repeat revenue — chemicals, filters, service plans, openings and closings, upgrades — but almost all of their marketing spend chases new customers. Meanwhile the recurring spend of customers they already own leaks to Amazon, big-box stores, and whichever competitor calls first.</w:t>
      </w:r>
    </w:p>
    <w:p>
      <w:pPr>
        <w:pStyle w:val="ListParagraph"/>
        <w:numPr>
          <w:ilvl w:val="0"/>
          <w:numId w:val="2"/>
        </w:numPr>
        <w:spacing w:after="80"/>
      </w:pPr>
      <w:r>
        <w:rPr>
          <w:rFonts w:ascii="Calibri" w:cs="Calibri" w:eastAsia="Calibri" w:hAnsi="Calibri"/>
          <w:b/>
          <w:bCs/>
          <w:color w:val="222222"/>
          <w:sz w:val="22"/>
          <w:szCs w:val="22"/>
        </w:rPr>
        <w:t xml:space="preserve">Retention economics. </w:t>
      </w:r>
      <w:r>
        <w:rPr>
          <w:rFonts w:ascii="Calibri" w:cs="Calibri" w:eastAsia="Calibri" w:hAnsi="Calibri"/>
          <w:color w:val="222222"/>
          <w:sz w:val="22"/>
          <w:szCs w:val="22"/>
        </w:rPr>
        <w:t xml:space="preserve">Selling to an existing customer converts at 3–5× the rate of cold acquisition, at a fraction of the cost. The dealer’s LOU database is their cheapest growth channel — and their least used.</w:t>
      </w:r>
    </w:p>
    <w:p>
      <w:pPr>
        <w:pStyle w:val="ListParagraph"/>
        <w:numPr>
          <w:ilvl w:val="0"/>
          <w:numId w:val="2"/>
        </w:numPr>
        <w:spacing w:after="80"/>
      </w:pPr>
      <w:r>
        <w:rPr>
          <w:rFonts w:ascii="Calibri" w:cs="Calibri" w:eastAsia="Calibri" w:hAnsi="Calibri"/>
          <w:b/>
          <w:bCs/>
          <w:color w:val="222222"/>
          <w:sz w:val="22"/>
          <w:szCs w:val="22"/>
        </w:rPr>
        <w:t xml:space="preserve">The consumables leak. </w:t>
      </w:r>
      <w:r>
        <w:rPr>
          <w:rFonts w:ascii="Calibri" w:cs="Calibri" w:eastAsia="Calibri" w:hAnsi="Calibri"/>
          <w:color w:val="222222"/>
          <w:sz w:val="22"/>
          <w:szCs w:val="22"/>
        </w:rPr>
        <w:t xml:space="preserve">A hot tub owner spends $400–$800/year on water care. Without timely dealer prompts, most of it goes online.</w:t>
      </w:r>
    </w:p>
    <w:p>
      <w:pPr>
        <w:pStyle w:val="ListParagraph"/>
        <w:numPr>
          <w:ilvl w:val="0"/>
          <w:numId w:val="2"/>
        </w:numPr>
        <w:spacing w:after="80"/>
      </w:pPr>
      <w:r>
        <w:rPr>
          <w:rFonts w:ascii="Calibri" w:cs="Calibri" w:eastAsia="Calibri" w:hAnsi="Calibri"/>
          <w:b/>
          <w:bCs/>
          <w:color w:val="222222"/>
          <w:sz w:val="22"/>
          <w:szCs w:val="22"/>
        </w:rPr>
        <w:t xml:space="preserve">Reviews compound. </w:t>
      </w:r>
      <w:r>
        <w:rPr>
          <w:rFonts w:ascii="Calibri" w:cs="Calibri" w:eastAsia="Calibri" w:hAnsi="Calibri"/>
          <w:color w:val="222222"/>
          <w:sz w:val="22"/>
          <w:szCs w:val="22"/>
        </w:rPr>
        <w:t xml:space="preserve">Review velocity is a primary local-search ranking factor. Systematic post-service review capture grows the funnel for every other campaign.</w:t>
      </w:r>
    </w:p>
    <w:p>
      <w:pPr>
        <w:pStyle w:val="ListParagraph"/>
        <w:numPr>
          <w:ilvl w:val="0"/>
          <w:numId w:val="2"/>
        </w:numPr>
        <w:spacing w:after="80"/>
      </w:pPr>
      <w:r>
        <w:rPr>
          <w:rFonts w:ascii="Calibri" w:cs="Calibri" w:eastAsia="Calibri" w:hAnsi="Calibri"/>
          <w:b/>
          <w:bCs/>
          <w:color w:val="222222"/>
          <w:sz w:val="22"/>
          <w:szCs w:val="22"/>
        </w:rPr>
        <w:t xml:space="preserve">Nobody else can close the loop. </w:t>
      </w:r>
      <w:r>
        <w:rPr>
          <w:rFonts w:ascii="Calibri" w:cs="Calibri" w:eastAsia="Calibri" w:hAnsi="Calibri"/>
          <w:color w:val="222222"/>
          <w:sz w:val="22"/>
          <w:szCs w:val="22"/>
        </w:rPr>
        <w:t xml:space="preserve">Because orders live in LOU, this program can report campaign-attributed revenue — not clicks, not impressions, but orders. That proof is what makes the program repeatable and referable.</w:t>
      </w:r>
    </w:p>
    <w:p>
      <w:pPr>
        <w:pStyle w:val="Heading1"/>
        <w:spacing w:after="160" w:before="320"/>
      </w:pPr>
      <w:r>
        <w:rPr>
          <w:rFonts w:ascii="Cambria" w:cs="Cambria" w:eastAsia="Cambria" w:hAnsi="Cambria"/>
          <w:b/>
          <w:bCs/>
          <w:color w:val="21295C"/>
          <w:sz w:val="32"/>
          <w:szCs w:val="32"/>
        </w:rPr>
        <w:t xml:space="preserve">3. Program Overview</w:t>
      </w:r>
    </w:p>
    <w:p>
      <w:pPr>
        <w:spacing w:after="120"/>
      </w:pPr>
      <w:r>
        <w:rPr>
          <w:rFonts w:ascii="Calibri" w:cs="Calibri" w:eastAsia="Calibri" w:hAnsi="Calibri"/>
          <w:color w:val="222222"/>
          <w:sz w:val="22"/>
          <w:szCs w:val="22"/>
        </w:rPr>
        <w:t xml:space="preserve">Working name: the LOU Growth Program — an Evosus Integration Partnership offering, delivered by Small Screen Producer. (Final naming and co-branding to be agreed jointly.)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Party</w:t>
            </w:r>
          </w:p>
        </w:tc>
        <w:tc>
          <w:tcPr>
            <w:tcW w:type="dxa" w:w="383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Brings</w:t>
            </w:r>
          </w:p>
        </w:tc>
        <w:tc>
          <w:tcPr>
            <w:tcW w:type="dxa" w:w="383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Gets</w:t>
            </w:r>
          </w:p>
        </w:tc>
      </w:tr>
      <w:tr>
        <w:tc>
          <w:tcPr>
            <w:tcW w:type="dxa" w:w="17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Dealer</w:t>
            </w:r>
          </w:p>
        </w:tc>
        <w:tc>
          <w:tcPr>
            <w:tcW w:type="dxa" w:w="383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Enrollment + authorization to share LOU customer &amp; transaction data; offer approval; capacity to fulfill demand</w:t>
            </w:r>
          </w:p>
        </w:tc>
        <w:tc>
          <w:tcPr>
            <w:tcW w:type="dxa" w:w="383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Managed lifecycle marketing, more traffic and repeat revenue, monthly attributed-revenue report; no enrollment cost</w:t>
            </w:r>
          </w:p>
        </w:tc>
      </w:tr>
      <w:tr>
        <w:tc>
          <w:tcPr>
            <w:tcW w:type="dxa" w:w="17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Evosus</w:t>
            </w:r>
          </w:p>
        </w:tc>
        <w:tc>
          <w:tcPr>
            <w:tcW w:type="dxa" w:w="383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APIs and data exchange; in-LOU enrollment experience; dealer referrals; expanding trigger roadmap</w:t>
            </w:r>
          </w:p>
        </w:tc>
        <w:tc>
          <w:tcPr>
            <w:tcW w:type="dxa" w:w="383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LOU differentiation and stickiness; referrals of non-LOU dealers from SSP’s network; a marquee partner story</w:t>
            </w:r>
          </w:p>
        </w:tc>
      </w:tr>
      <w:tr>
        <w:tc>
          <w:tcPr>
            <w:tcW w:type="dxa" w:w="17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Small Screen Producer</w:t>
            </w:r>
          </w:p>
        </w:tc>
        <w:tc>
          <w:tcPr>
            <w:tcW w:type="dxa" w:w="383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Campaign strategy, creative, execution in MyLeadHub, optimization, reporting; compliance handling</w:t>
            </w:r>
          </w:p>
        </w:tc>
        <w:tc>
          <w:tcPr>
            <w:tcW w:type="dxa" w:w="383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Qualified dealer referrals; the data feed that powers measurable campaigns; program revenue from dealer subscriptions</w:t>
            </w:r>
          </w:p>
        </w:tc>
      </w:tr>
    </w:tbl>
    <w:p>
      <w:pPr>
        <w:spacing w:after="160"/>
      </w:pPr>
    </w:p>
    <w:p>
      <w:pPr>
        <w:spacing w:after="60"/>
      </w:pPr>
      <w:r>
        <w:rPr>
          <w:rFonts w:ascii="Calibri" w:cs="Calibri" w:eastAsia="Calibri" w:hAnsi="Calibri"/>
          <w:b/>
          <w:bCs/>
          <w:color w:val="222222"/>
          <w:sz w:val="22"/>
          <w:szCs w:val="22"/>
        </w:rPr>
        <w:t xml:space="preserve">Dealer journey:</w:t>
      </w:r>
    </w:p>
    <w:p>
      <w:pPr>
        <w:pStyle w:val="ListParagraph"/>
        <w:numPr>
          <w:ilvl w:val="0"/>
          <w:numId w:val="2"/>
        </w:numPr>
        <w:spacing w:after="80"/>
      </w:pPr>
      <w:r>
        <w:rPr>
          <w:rFonts w:ascii="Calibri" w:cs="Calibri" w:eastAsia="Calibri" w:hAnsi="Calibri"/>
          <w:b/>
          <w:bCs/>
          <w:color w:val="222222"/>
          <w:sz w:val="22"/>
          <w:szCs w:val="22"/>
        </w:rPr>
        <w:t xml:space="preserve">Enroll. </w:t>
      </w:r>
      <w:r>
        <w:rPr>
          <w:rFonts w:ascii="Calibri" w:cs="Calibri" w:eastAsia="Calibri" w:hAnsi="Calibri"/>
          <w:color w:val="222222"/>
          <w:sz w:val="22"/>
          <w:szCs w:val="22"/>
        </w:rPr>
        <w:t xml:space="preserve">Dealer opts into the Integration Partnership inside LOU (no cost) and authorizes secure data sharing with SSP.</w:t>
      </w:r>
    </w:p>
    <w:p>
      <w:pPr>
        <w:pStyle w:val="ListParagraph"/>
        <w:numPr>
          <w:ilvl w:val="0"/>
          <w:numId w:val="2"/>
        </w:numPr>
        <w:spacing w:after="80"/>
      </w:pPr>
      <w:r>
        <w:rPr>
          <w:rFonts w:ascii="Calibri" w:cs="Calibri" w:eastAsia="Calibri" w:hAnsi="Calibri"/>
          <w:b/>
          <w:bCs/>
          <w:color w:val="222222"/>
          <w:sz w:val="22"/>
          <w:szCs w:val="22"/>
        </w:rPr>
        <w:t xml:space="preserve">Onboard. </w:t>
      </w:r>
      <w:r>
        <w:rPr>
          <w:rFonts w:ascii="Calibri" w:cs="Calibri" w:eastAsia="Calibri" w:hAnsi="Calibri"/>
          <w:color w:val="222222"/>
          <w:sz w:val="22"/>
          <w:szCs w:val="22"/>
        </w:rPr>
        <w:t xml:space="preserve">SSP provisions the data sync, imports history, builds segments, and configures brand voice and offers with the dealer (about two weeks).</w:t>
      </w:r>
    </w:p>
    <w:p>
      <w:pPr>
        <w:pStyle w:val="ListParagraph"/>
        <w:numPr>
          <w:ilvl w:val="0"/>
          <w:numId w:val="2"/>
        </w:numPr>
        <w:spacing w:after="80"/>
      </w:pPr>
      <w:r>
        <w:rPr>
          <w:rFonts w:ascii="Calibri" w:cs="Calibri" w:eastAsia="Calibri" w:hAnsi="Calibri"/>
          <w:b/>
          <w:bCs/>
          <w:color w:val="222222"/>
          <w:sz w:val="22"/>
          <w:szCs w:val="22"/>
        </w:rPr>
        <w:t xml:space="preserve">Run. </w:t>
      </w:r>
      <w:r>
        <w:rPr>
          <w:rFonts w:ascii="Calibri" w:cs="Calibri" w:eastAsia="Calibri" w:hAnsi="Calibri"/>
          <w:color w:val="222222"/>
          <w:sz w:val="22"/>
          <w:szCs w:val="22"/>
        </w:rPr>
        <w:t xml:space="preserve">Campaigns fire automatically from LOU order activity. The dealer approves offers; SSP handles everything else.</w:t>
      </w:r>
    </w:p>
    <w:p>
      <w:pPr>
        <w:pStyle w:val="ListParagraph"/>
        <w:numPr>
          <w:ilvl w:val="0"/>
          <w:numId w:val="2"/>
        </w:numPr>
        <w:spacing w:after="80"/>
      </w:pPr>
      <w:r>
        <w:rPr>
          <w:rFonts w:ascii="Calibri" w:cs="Calibri" w:eastAsia="Calibri" w:hAnsi="Calibri"/>
          <w:b/>
          <w:bCs/>
          <w:color w:val="222222"/>
          <w:sz w:val="22"/>
          <w:szCs w:val="22"/>
        </w:rPr>
        <w:t xml:space="preserve">Prove. </w:t>
      </w:r>
      <w:r>
        <w:rPr>
          <w:rFonts w:ascii="Calibri" w:cs="Calibri" w:eastAsia="Calibri" w:hAnsi="Calibri"/>
          <w:color w:val="222222"/>
          <w:sz w:val="22"/>
          <w:szCs w:val="22"/>
        </w:rPr>
        <w:t xml:space="preserve">Monthly attribution report ties campaigns to orders in LOU. Results feed Evosus’ referral engine and the program’s case studies.</w:t>
      </w:r>
    </w:p>
    <w:p>
      <w:pPr>
        <w:pStyle w:val="Heading1"/>
        <w:spacing w:after="160" w:before="320"/>
      </w:pPr>
      <w:r>
        <w:rPr>
          <w:rFonts w:ascii="Cambria" w:cs="Cambria" w:eastAsia="Cambria" w:hAnsi="Cambria"/>
          <w:b/>
          <w:bCs/>
          <w:color w:val="21295C"/>
          <w:sz w:val="32"/>
          <w:szCs w:val="32"/>
        </w:rPr>
        <w:t xml:space="preserve">4. The Data Engine</w:t>
      </w:r>
    </w:p>
    <w:p>
      <w:pPr>
        <w:spacing w:after="120"/>
      </w:pPr>
      <w:r>
        <w:rPr>
          <w:rFonts w:ascii="Calibri" w:cs="Calibri" w:eastAsia="Calibri" w:hAnsi="Calibri"/>
          <w:color w:val="222222"/>
          <w:sz w:val="22"/>
          <w:szCs w:val="22"/>
        </w:rPr>
        <w:t xml:space="preserve">The program runs on a simple, staged integration that matches the Evosus engineering roadmap already in motion:</w:t>
      </w:r>
    </w:p>
    <w:p>
      <w:pPr>
        <w:pStyle w:val="ListParagraph"/>
        <w:numPr>
          <w:ilvl w:val="0"/>
          <w:numId w:val="2"/>
        </w:numPr>
        <w:spacing w:after="80"/>
      </w:pPr>
      <w:r>
        <w:rPr>
          <w:rFonts w:ascii="Calibri" w:cs="Calibri" w:eastAsia="Calibri" w:hAnsi="Calibri"/>
          <w:b/>
          <w:bCs/>
          <w:color w:val="222222"/>
          <w:sz w:val="22"/>
          <w:szCs w:val="22"/>
        </w:rPr>
        <w:t xml:space="preserve">Phase 1 (launch): nightly order sync. </w:t>
      </w:r>
      <w:r>
        <w:rPr>
          <w:rFonts w:ascii="Calibri" w:cs="Calibri" w:eastAsia="Calibri" w:hAnsi="Calibri"/>
          <w:color w:val="222222"/>
          <w:sz w:val="22"/>
          <w:szCs w:val="22"/>
        </w:rPr>
        <w:t xml:space="preserve">Using the new orders-by-date API, SSP pulls each day’s orders per dealer (Order ID, Customer ID, Order Type, Status), then calls the existing Sales/Work Order and Customer APIs for details — contact info, address, order SKUs, quantities, and dollar amounts. Completed Sale and Work orders route into campaign triggers in MyLeadHub.</w:t>
      </w:r>
    </w:p>
    <w:p>
      <w:pPr>
        <w:pStyle w:val="ListParagraph"/>
        <w:numPr>
          <w:ilvl w:val="0"/>
          <w:numId w:val="2"/>
        </w:numPr>
        <w:spacing w:after="80"/>
      </w:pPr>
      <w:r>
        <w:rPr>
          <w:rFonts w:ascii="Calibri" w:cs="Calibri" w:eastAsia="Calibri" w:hAnsi="Calibri"/>
          <w:b/>
          <w:bCs/>
          <w:color w:val="222222"/>
          <w:sz w:val="22"/>
          <w:szCs w:val="22"/>
        </w:rPr>
        <w:t xml:space="preserve">Phase 2 (near-term): real-time push. </w:t>
      </w:r>
      <w:r>
        <w:rPr>
          <w:rFonts w:ascii="Calibri" w:cs="Calibri" w:eastAsia="Calibri" w:hAnsi="Calibri"/>
          <w:color w:val="222222"/>
          <w:sz w:val="22"/>
          <w:szCs w:val="22"/>
        </w:rPr>
        <w:t xml:space="preserve">Evosus’ in-development push solution (WebSocket/webhook) moves triggers from next-day to same-hour — most valuable for the post-service satisfaction check, where speed drives review capture.</w:t>
      </w:r>
    </w:p>
    <w:p>
      <w:pPr>
        <w:pStyle w:val="ListParagraph"/>
        <w:numPr>
          <w:ilvl w:val="0"/>
          <w:numId w:val="2"/>
        </w:numPr>
        <w:spacing w:after="80"/>
      </w:pPr>
      <w:r>
        <w:rPr>
          <w:rFonts w:ascii="Calibri" w:cs="Calibri" w:eastAsia="Calibri" w:hAnsi="Calibri"/>
          <w:b/>
          <w:bCs/>
          <w:color w:val="222222"/>
          <w:sz w:val="22"/>
          <w:szCs w:val="22"/>
        </w:rPr>
        <w:t xml:space="preserve">Phase 3 (roadmap): richer triggers. </w:t>
      </w:r>
      <w:r>
        <w:rPr>
          <w:rFonts w:ascii="Calibri" w:cs="Calibri" w:eastAsia="Calibri" w:hAnsi="Calibri"/>
          <w:color w:val="222222"/>
          <w:sz w:val="22"/>
          <w:szCs w:val="22"/>
        </w:rPr>
        <w:t xml:space="preserve">Open quotes/estimates (Campaign 4), install dates and equipment age (Campaign 9), appointments, and inventory signals. Each new trigger Evosus ships unlocks a named campaign — a concrete, revenue-linked API roadmap.</w:t>
      </w:r>
    </w:p>
    <w:p>
      <w:pPr>
        <w:spacing w:after="120"/>
      </w:pPr>
      <w:r>
        <w:rPr>
          <w:rFonts w:ascii="Calibri" w:cs="Calibri" w:eastAsia="Calibri" w:hAnsi="Calibri"/>
          <w:color w:val="222222"/>
          <w:sz w:val="22"/>
          <w:szCs w:val="22"/>
        </w:rPr>
        <w:t xml:space="preserve">Data handled per dealer: customer contact and address info, order SKUs and amounts, order types and statuses. Each dealer’s data is segregated, used only for that dealer’s marketing, and removed on disenrollment (details in Section 10).</w:t>
      </w:r>
    </w:p>
    <w:p>
      <w:pPr>
        <w:pStyle w:val="Heading1"/>
        <w:spacing w:after="160" w:before="320"/>
      </w:pPr>
      <w:r>
        <w:rPr>
          <w:rFonts w:ascii="Cambria" w:cs="Cambria" w:eastAsia="Cambria" w:hAnsi="Cambria"/>
          <w:b/>
          <w:bCs/>
          <w:color w:val="21295C"/>
          <w:sz w:val="32"/>
          <w:szCs w:val="32"/>
        </w:rPr>
        <w:t xml:space="preserve">5. Customer Segmentation</w:t>
      </w:r>
    </w:p>
    <w:p>
      <w:pPr>
        <w:spacing w:after="120"/>
      </w:pPr>
      <w:r>
        <w:rPr>
          <w:rFonts w:ascii="Calibri" w:cs="Calibri" w:eastAsia="Calibri" w:hAnsi="Calibri"/>
          <w:color w:val="222222"/>
          <w:sz w:val="22"/>
          <w:szCs w:val="22"/>
        </w:rPr>
        <w:t xml:space="preserve">Order history yields the working segments every campaign branches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160"/>
        <w:gridCol w:w="3100"/>
      </w:tblGrid>
      <w:tr>
        <w:trPr>
          <w:tblHeader/>
        </w:trPr>
        <w:tc>
          <w:tcPr>
            <w:tcW w:type="dxa" w:w="21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Segment</w:t>
            </w:r>
          </w:p>
        </w:tc>
        <w:tc>
          <w:tcPr>
            <w:tcW w:type="dxa" w:w="41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Definition (from LOU data)</w:t>
            </w:r>
          </w:p>
        </w:tc>
        <w:tc>
          <w:tcPr>
            <w:tcW w:type="dxa" w:w="31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Primary campaigns</w:t>
            </w:r>
          </w:p>
        </w:tc>
      </w:tr>
      <w:tr>
        <w:tc>
          <w:tcPr>
            <w:tcW w:type="dxa" w:w="21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New customers</w:t>
            </w:r>
          </w:p>
        </w:tc>
        <w:tc>
          <w:tcPr>
            <w:tcW w:type="dxa" w:w="41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First completed Sale order within 45 days</w:t>
            </w:r>
          </w:p>
        </w:tc>
        <w:tc>
          <w:tcPr>
            <w:tcW w:type="dxa" w:w="31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 Welcome Splash, 2 Complete the Backyard</w:t>
            </w:r>
          </w:p>
        </w:tc>
      </w:tr>
      <w:tr>
        <w:tc>
          <w:tcPr>
            <w:tcW w:type="dxa" w:w="21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Active retail buyers</w:t>
            </w:r>
          </w:p>
        </w:tc>
        <w:tc>
          <w:tcPr>
            <w:tcW w:type="dxa" w:w="41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Sale order within 12 months</w:t>
            </w:r>
          </w:p>
        </w:tc>
        <w:tc>
          <w:tcPr>
            <w:tcW w:type="dxa" w:w="31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5 Water Care Autopilot, 6 Season Ready</w:t>
            </w:r>
          </w:p>
        </w:tc>
      </w:tr>
      <w:tr>
        <w:tc>
          <w:tcPr>
            <w:tcW w:type="dxa" w:w="21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Service customers</w:t>
            </w:r>
          </w:p>
        </w:tc>
        <w:tc>
          <w:tcPr>
            <w:tcW w:type="dxa" w:w="41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Work order within 12 months</w:t>
            </w:r>
          </w:p>
        </w:tc>
        <w:tc>
          <w:tcPr>
            <w:tcW w:type="dxa" w:w="31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 Service Excellence Loop, 6 Season Ready</w:t>
            </w:r>
          </w:p>
        </w:tc>
      </w:tr>
      <w:tr>
        <w:tc>
          <w:tcPr>
            <w:tcW w:type="dxa" w:w="21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Service-only</w:t>
            </w:r>
          </w:p>
        </w:tc>
        <w:tc>
          <w:tcPr>
            <w:tcW w:type="dxa" w:w="41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Work orders but no Sale orders</w:t>
            </w:r>
          </w:p>
        </w:tc>
        <w:tc>
          <w:tcPr>
            <w:tcW w:type="dxa" w:w="31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8 Upgrade Path</w:t>
            </w:r>
          </w:p>
        </w:tc>
      </w:tr>
      <w:tr>
        <w:tc>
          <w:tcPr>
            <w:tcW w:type="dxa" w:w="21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Dormant</w:t>
            </w:r>
          </w:p>
        </w:tc>
        <w:tc>
          <w:tcPr>
            <w:tcW w:type="dxa" w:w="41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No completed order in 12–18 months</w:t>
            </w:r>
          </w:p>
        </w:tc>
        <w:tc>
          <w:tcPr>
            <w:tcW w:type="dxa" w:w="31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7 Welcome Back</w:t>
            </w:r>
          </w:p>
        </w:tc>
      </w:tr>
      <w:tr>
        <w:tc>
          <w:tcPr>
            <w:tcW w:type="dxa" w:w="21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Big-ticket owners</w:t>
            </w:r>
          </w:p>
        </w:tc>
        <w:tc>
          <w:tcPr>
            <w:tcW w:type="dxa" w:w="41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Hot tub / pool / major equipment SKUs in history</w:t>
            </w:r>
          </w:p>
        </w:tc>
        <w:tc>
          <w:tcPr>
            <w:tcW w:type="dxa" w:w="31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 5, 6, 9 (lifecycle)</w:t>
            </w:r>
          </w:p>
        </w:tc>
      </w:tr>
      <w:tr>
        <w:tc>
          <w:tcPr>
            <w:tcW w:type="dxa" w:w="21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Open quotes (Phase 3)</w:t>
            </w:r>
          </w:p>
        </w:tc>
        <w:tc>
          <w:tcPr>
            <w:tcW w:type="dxa" w:w="41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Quote created, not converted</w:t>
            </w:r>
          </w:p>
        </w:tc>
        <w:tc>
          <w:tcPr>
            <w:tcW w:type="dxa" w:w="31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4 Quote Rescue</w:t>
            </w:r>
          </w:p>
        </w:tc>
      </w:tr>
    </w:tbl>
    <w:p>
      <w:r>
        <w:br w:type="page"/>
      </w:r>
    </w:p>
    <w:p>
      <w:pPr>
        <w:pStyle w:val="Heading1"/>
        <w:spacing w:after="160" w:before="320"/>
      </w:pPr>
      <w:r>
        <w:rPr>
          <w:rFonts w:ascii="Cambria" w:cs="Cambria" w:eastAsia="Cambria" w:hAnsi="Cambria"/>
          <w:b/>
          <w:bCs/>
          <w:color w:val="21295C"/>
          <w:sz w:val="32"/>
          <w:szCs w:val="32"/>
        </w:rPr>
        <w:t xml:space="preserve">6. Campaign Portfolio — Nine Playbooks</w:t>
      </w:r>
    </w:p>
    <w:p>
      <w:pPr>
        <w:spacing w:after="120"/>
      </w:pPr>
      <w:r>
        <w:rPr>
          <w:rFonts w:ascii="Calibri" w:cs="Calibri" w:eastAsia="Calibri" w:hAnsi="Calibri"/>
          <w:color w:val="222222"/>
          <w:sz w:val="22"/>
          <w:szCs w:val="22"/>
        </w:rPr>
        <w:t xml:space="preserve">Seven campaigns run on the Phase 1 launch data set; two (marked as roadmap triggers) define the next data milestones for the Evosus API roadmap. Every send carries dealer branding, honors quiet hours and consent, and is tracked to subsequent LOU orders by Customer ID.</w:t>
      </w:r>
    </w:p>
    <w:p>
      <w:pPr>
        <w:pStyle w:val="Heading2"/>
        <w:spacing w:after="60" w:before="280"/>
      </w:pPr>
      <w:r>
        <w:rPr>
          <w:rFonts w:ascii="Cambria" w:cs="Cambria" w:eastAsia="Cambria" w:hAnsi="Cambria"/>
          <w:b/>
          <w:bCs/>
          <w:color w:val="065A82"/>
          <w:sz w:val="26"/>
          <w:szCs w:val="26"/>
        </w:rPr>
        <w:t xml:space="preserve">Campaign 1: Welcome Splash</w:t>
      </w:r>
    </w:p>
    <w:p>
      <w:pPr>
        <w:spacing w:after="100"/>
      </w:pPr>
      <w:r>
        <w:rPr>
          <w:rFonts w:ascii="Calibri" w:cs="Calibri" w:eastAsia="Calibri" w:hAnsi="Calibri"/>
          <w:b/>
          <w:bCs/>
          <w:color w:val="1C7293"/>
          <w:sz w:val="20"/>
          <w:szCs w:val="20"/>
        </w:rPr>
        <w:t xml:space="preserve">Welcome &amp; Grow</w:t>
      </w:r>
      <w:r>
        <w:rPr>
          <w:rFonts w:ascii="Calibri" w:cs="Calibri" w:eastAsia="Calibri" w:hAnsi="Calibri"/>
          <w:i/>
          <w:iCs/>
          <w:color w:val="5A6B76"/>
          <w:sz w:val="20"/>
          <w:szCs w:val="20"/>
        </w:rPr>
        <w:t xml:space="preserve">   •   Available at launch</w:t>
      </w:r>
    </w:p>
    <w:p>
      <w:pPr>
        <w:spacing w:after="120"/>
      </w:pPr>
      <w:r>
        <w:rPr>
          <w:rFonts w:ascii="Calibri" w:cs="Calibri" w:eastAsia="Calibri" w:hAnsi="Calibri"/>
          <w:b/>
          <w:bCs/>
          <w:color w:val="222222"/>
          <w:sz w:val="22"/>
          <w:szCs w:val="22"/>
        </w:rPr>
        <w:t xml:space="preserve">Objective. </w:t>
      </w:r>
      <w:r>
        <w:rPr>
          <w:rFonts w:ascii="Calibri" w:cs="Calibri" w:eastAsia="Calibri" w:hAnsi="Calibri"/>
          <w:color w:val="222222"/>
          <w:sz w:val="22"/>
          <w:szCs w:val="22"/>
        </w:rPr>
        <w:t xml:space="preserve">Turn a first purchase into a lasting relationship: capture a Google review while satisfaction is highest, educate the new owner, and open the cross-sell conversation.</w:t>
      </w:r>
    </w:p>
    <w:p>
      <w:pPr>
        <w:spacing w:after="120"/>
      </w:pPr>
      <w:r>
        <w:rPr>
          <w:rFonts w:ascii="Calibri" w:cs="Calibri" w:eastAsia="Calibri" w:hAnsi="Calibri"/>
          <w:b/>
          <w:bCs/>
          <w:color w:val="222222"/>
          <w:sz w:val="22"/>
          <w:szCs w:val="22"/>
        </w:rPr>
        <w:t xml:space="preserve">LOU trigger. </w:t>
      </w:r>
      <w:r>
        <w:rPr>
          <w:rFonts w:ascii="Calibri" w:cs="Calibri" w:eastAsia="Calibri" w:hAnsi="Calibri"/>
          <w:color w:val="222222"/>
          <w:sz w:val="22"/>
          <w:szCs w:val="22"/>
        </w:rPr>
        <w:t xml:space="preserve">First completed Sale order for a new LOU Customer ID (detected in the nightly order sync).</w:t>
      </w:r>
    </w:p>
    <w:p>
      <w:pPr>
        <w:spacing w:after="120"/>
      </w:pPr>
      <w:r>
        <w:rPr>
          <w:rFonts w:ascii="Calibri" w:cs="Calibri" w:eastAsia="Calibri" w:hAnsi="Calibri"/>
          <w:b/>
          <w:bCs/>
          <w:color w:val="222222"/>
          <w:sz w:val="22"/>
          <w:szCs w:val="22"/>
        </w:rPr>
        <w:t xml:space="preserve">Audience. </w:t>
      </w:r>
      <w:r>
        <w:rPr>
          <w:rFonts w:ascii="Calibri" w:cs="Calibri" w:eastAsia="Calibri" w:hAnsi="Calibri"/>
          <w:color w:val="222222"/>
          <w:sz w:val="22"/>
          <w:szCs w:val="22"/>
        </w:rPr>
        <w:t xml:space="preserve">Customers whose first completed Sale order posted in the last 24–48 hours.</w:t>
      </w:r>
    </w:p>
    <w:p>
      <w:pPr>
        <w:spacing w:after="60"/>
      </w:pPr>
      <w:r>
        <w:rPr>
          <w:rFonts w:ascii="Calibri" w:cs="Calibri" w:eastAsia="Calibri" w:hAnsi="Calibri"/>
          <w:b/>
          <w:bCs/>
          <w:color w:val="222222"/>
          <w:sz w:val="22"/>
          <w:szCs w:val="22"/>
        </w:rPr>
        <w:t xml:space="preserve">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500"/>
        <w:gridCol w:w="5960"/>
      </w:tblGrid>
      <w:tr>
        <w:trPr>
          <w:tblHeader/>
        </w:trPr>
        <w:tc>
          <w:tcPr>
            <w:tcW w:type="dxa" w:w="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t>
            </w:r>
          </w:p>
        </w:tc>
        <w:tc>
          <w:tcPr>
            <w:tcW w:type="dxa" w:w="14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Timing</w:t>
            </w:r>
          </w:p>
        </w:tc>
        <w:tc>
          <w:tcPr>
            <w:tcW w:type="dxa" w:w="1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Channel</w:t>
            </w:r>
          </w:p>
        </w:tc>
        <w:tc>
          <w:tcPr>
            <w:tcW w:type="dxa" w:w="59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Message</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0</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Thank you + what happens next + new-owner quick-start guide</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2</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SMS</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Friendly check-in: “How’s everything so far?” with the dealer’s support line</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5</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Google review request — strike while satisfaction is highest</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4</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12</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Care 101 guide keyed to what they bought (hot tub vs. pool vs. equipment)</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5</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21</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Starter accessories bundle keyed to the purchased SKUs</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6</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30</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Introduction to the dealer’s service plan / maintenance membership</w:t>
            </w:r>
          </w:p>
        </w:tc>
      </w:tr>
    </w:tbl>
    <w:p>
      <w:pPr>
        <w:spacing w:after="120"/>
      </w:pPr>
    </w:p>
    <w:p>
      <w:pPr>
        <w:spacing w:after="60"/>
      </w:pPr>
      <w:r>
        <w:rPr>
          <w:rFonts w:ascii="Calibri" w:cs="Calibri" w:eastAsia="Calibri" w:hAnsi="Calibri"/>
          <w:b/>
          <w:bCs/>
          <w:color w:val="222222"/>
          <w:sz w:val="22"/>
          <w:szCs w:val="22"/>
        </w:rPr>
        <w:t xml:space="preserve">Offer ideas</w:t>
      </w:r>
    </w:p>
    <w:p>
      <w:pPr>
        <w:pStyle w:val="ListParagraph"/>
        <w:numPr>
          <w:ilvl w:val="0"/>
          <w:numId w:val="2"/>
        </w:numPr>
        <w:spacing w:after="80"/>
      </w:pPr>
      <w:r>
        <w:rPr>
          <w:rFonts w:ascii="Calibri" w:cs="Calibri" w:eastAsia="Calibri" w:hAnsi="Calibri"/>
          <w:color w:val="222222"/>
          <w:sz w:val="22"/>
          <w:szCs w:val="22"/>
        </w:rPr>
        <w:t xml:space="preserve">10% off a first accessories order (code tracked for attribution)</w:t>
      </w:r>
    </w:p>
    <w:p>
      <w:pPr>
        <w:pStyle w:val="ListParagraph"/>
        <w:numPr>
          <w:ilvl w:val="0"/>
          <w:numId w:val="2"/>
        </w:numPr>
        <w:spacing w:after="80"/>
      </w:pPr>
      <w:r>
        <w:rPr>
          <w:rFonts w:ascii="Calibri" w:cs="Calibri" w:eastAsia="Calibri" w:hAnsi="Calibri"/>
          <w:color w:val="222222"/>
          <w:sz w:val="22"/>
          <w:szCs w:val="22"/>
        </w:rPr>
        <w:t xml:space="preserve">Free in-store water test to drive a showroom visit</w:t>
      </w:r>
    </w:p>
    <w:p>
      <w:pPr>
        <w:spacing w:after="60"/>
      </w:pPr>
      <w:r>
        <w:rPr>
          <w:rFonts w:ascii="Calibri" w:cs="Calibri" w:eastAsia="Calibri" w:hAnsi="Calibri"/>
          <w:b/>
          <w:bCs/>
          <w:color w:val="222222"/>
          <w:sz w:val="22"/>
          <w:szCs w:val="22"/>
        </w:rPr>
        <w:t xml:space="preserve">KPIs</w:t>
      </w:r>
    </w:p>
    <w:p>
      <w:pPr>
        <w:pStyle w:val="ListParagraph"/>
        <w:numPr>
          <w:ilvl w:val="0"/>
          <w:numId w:val="2"/>
        </w:numPr>
        <w:spacing w:after="80"/>
      </w:pPr>
      <w:r>
        <w:rPr>
          <w:rFonts w:ascii="Calibri" w:cs="Calibri" w:eastAsia="Calibri" w:hAnsi="Calibri"/>
          <w:color w:val="222222"/>
          <w:sz w:val="22"/>
          <w:szCs w:val="22"/>
        </w:rPr>
        <w:t xml:space="preserve">Review conversion rate (target 15–25% of new customers)</w:t>
      </w:r>
    </w:p>
    <w:p>
      <w:pPr>
        <w:pStyle w:val="ListParagraph"/>
        <w:numPr>
          <w:ilvl w:val="0"/>
          <w:numId w:val="2"/>
        </w:numPr>
        <w:spacing w:after="80"/>
      </w:pPr>
      <w:r>
        <w:rPr>
          <w:rFonts w:ascii="Calibri" w:cs="Calibri" w:eastAsia="Calibri" w:hAnsi="Calibri"/>
          <w:color w:val="222222"/>
          <w:sz w:val="22"/>
          <w:szCs w:val="22"/>
        </w:rPr>
        <w:t xml:space="preserve">Accessory attach rate within 45 days</w:t>
      </w:r>
    </w:p>
    <w:p>
      <w:pPr>
        <w:pStyle w:val="ListParagraph"/>
        <w:numPr>
          <w:ilvl w:val="0"/>
          <w:numId w:val="2"/>
        </w:numPr>
        <w:spacing w:after="80"/>
      </w:pPr>
      <w:r>
        <w:rPr>
          <w:rFonts w:ascii="Calibri" w:cs="Calibri" w:eastAsia="Calibri" w:hAnsi="Calibri"/>
          <w:color w:val="222222"/>
          <w:sz w:val="22"/>
          <w:szCs w:val="22"/>
        </w:rPr>
        <w:t xml:space="preserve">Email open/click engagement as a list-health signal</w:t>
      </w:r>
    </w:p>
    <w:p>
      <w:pPr>
        <w:spacing w:after="200"/>
      </w:pPr>
      <w:r>
        <w:rPr>
          <w:rFonts w:ascii="Calibri" w:cs="Calibri" w:eastAsia="Calibri" w:hAnsi="Calibri"/>
          <w:b/>
          <w:bCs/>
          <w:color w:val="21295C"/>
          <w:sz w:val="22"/>
          <w:szCs w:val="22"/>
        </w:rPr>
        <w:t xml:space="preserve">Why it pays. </w:t>
      </w:r>
      <w:r>
        <w:rPr>
          <w:rFonts w:ascii="Calibri" w:cs="Calibri" w:eastAsia="Calibri" w:hAnsi="Calibri"/>
          <w:i/>
          <w:iCs/>
          <w:color w:val="222222"/>
          <w:sz w:val="22"/>
          <w:szCs w:val="22"/>
        </w:rPr>
        <w:t xml:space="preserve">A dealer adding 100 new customers a month with a 15% attach rate at a $120 average accessory order gains ~$1,800/month in prompted add-on revenue — before counting the compounding value of review velocity.</w:t>
      </w:r>
    </w:p>
    <w:p>
      <w:pPr>
        <w:pStyle w:val="Heading2"/>
        <w:spacing w:after="60" w:before="280"/>
      </w:pPr>
      <w:r>
        <w:rPr>
          <w:rFonts w:ascii="Cambria" w:cs="Cambria" w:eastAsia="Cambria" w:hAnsi="Cambria"/>
          <w:b/>
          <w:bCs/>
          <w:color w:val="065A82"/>
          <w:sz w:val="26"/>
          <w:szCs w:val="26"/>
        </w:rPr>
        <w:t xml:space="preserve">Campaign 2: Complete the Backyard</w:t>
      </w:r>
    </w:p>
    <w:p>
      <w:pPr>
        <w:spacing w:after="100"/>
      </w:pPr>
      <w:r>
        <w:rPr>
          <w:rFonts w:ascii="Calibri" w:cs="Calibri" w:eastAsia="Calibri" w:hAnsi="Calibri"/>
          <w:b/>
          <w:bCs/>
          <w:color w:val="1C7293"/>
          <w:sz w:val="20"/>
          <w:szCs w:val="20"/>
        </w:rPr>
        <w:t xml:space="preserve">Welcome &amp; Grow</w:t>
      </w:r>
      <w:r>
        <w:rPr>
          <w:rFonts w:ascii="Calibri" w:cs="Calibri" w:eastAsia="Calibri" w:hAnsi="Calibri"/>
          <w:i/>
          <w:iCs/>
          <w:color w:val="5A6B76"/>
          <w:sz w:val="20"/>
          <w:szCs w:val="20"/>
        </w:rPr>
        <w:t xml:space="preserve">   •   Available at launch</w:t>
      </w:r>
    </w:p>
    <w:p>
      <w:pPr>
        <w:spacing w:after="120"/>
      </w:pPr>
      <w:r>
        <w:rPr>
          <w:rFonts w:ascii="Calibri" w:cs="Calibri" w:eastAsia="Calibri" w:hAnsi="Calibri"/>
          <w:b/>
          <w:bCs/>
          <w:color w:val="222222"/>
          <w:sz w:val="22"/>
          <w:szCs w:val="22"/>
        </w:rPr>
        <w:t xml:space="preserve">Objective. </w:t>
      </w:r>
      <w:r>
        <w:rPr>
          <w:rFonts w:ascii="Calibri" w:cs="Calibri" w:eastAsia="Calibri" w:hAnsi="Calibri"/>
          <w:color w:val="222222"/>
          <w:sz w:val="22"/>
          <w:szCs w:val="22"/>
        </w:rPr>
        <w:t xml:space="preserve">Convert big-ticket buyers into whole-ecosystem customers by recommending exactly the accessories that fit what they bought.</w:t>
      </w:r>
    </w:p>
    <w:p>
      <w:pPr>
        <w:spacing w:after="120"/>
      </w:pPr>
      <w:r>
        <w:rPr>
          <w:rFonts w:ascii="Calibri" w:cs="Calibri" w:eastAsia="Calibri" w:hAnsi="Calibri"/>
          <w:b/>
          <w:bCs/>
          <w:color w:val="222222"/>
          <w:sz w:val="22"/>
          <w:szCs w:val="22"/>
        </w:rPr>
        <w:t xml:space="preserve">LOU trigger. </w:t>
      </w:r>
      <w:r>
        <w:rPr>
          <w:rFonts w:ascii="Calibri" w:cs="Calibri" w:eastAsia="Calibri" w:hAnsi="Calibri"/>
          <w:color w:val="222222"/>
          <w:sz w:val="22"/>
          <w:szCs w:val="22"/>
        </w:rPr>
        <w:t xml:space="preserve">Completed Sale order lines (orderSKUs) — campaign branches on product category.</w:t>
      </w:r>
    </w:p>
    <w:p>
      <w:pPr>
        <w:spacing w:after="120"/>
      </w:pPr>
      <w:r>
        <w:rPr>
          <w:rFonts w:ascii="Calibri" w:cs="Calibri" w:eastAsia="Calibri" w:hAnsi="Calibri"/>
          <w:b/>
          <w:bCs/>
          <w:color w:val="222222"/>
          <w:sz w:val="22"/>
          <w:szCs w:val="22"/>
        </w:rPr>
        <w:t xml:space="preserve">Audience. </w:t>
      </w:r>
      <w:r>
        <w:rPr>
          <w:rFonts w:ascii="Calibri" w:cs="Calibri" w:eastAsia="Calibri" w:hAnsi="Calibri"/>
          <w:color w:val="222222"/>
          <w:sz w:val="22"/>
          <w:szCs w:val="22"/>
        </w:rPr>
        <w:t xml:space="preserve">Buyers of major items: hot tubs, pools, heaters, pumps, covers, automation.</w:t>
      </w:r>
    </w:p>
    <w:p>
      <w:pPr>
        <w:spacing w:after="60"/>
      </w:pPr>
      <w:r>
        <w:rPr>
          <w:rFonts w:ascii="Calibri" w:cs="Calibri" w:eastAsia="Calibri" w:hAnsi="Calibri"/>
          <w:b/>
          <w:bCs/>
          <w:color w:val="222222"/>
          <w:sz w:val="22"/>
          <w:szCs w:val="22"/>
        </w:rPr>
        <w:t xml:space="preserve">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500"/>
        <w:gridCol w:w="5960"/>
      </w:tblGrid>
      <w:tr>
        <w:trPr>
          <w:tblHeader/>
        </w:trPr>
        <w:tc>
          <w:tcPr>
            <w:tcW w:type="dxa" w:w="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t>
            </w:r>
          </w:p>
        </w:tc>
        <w:tc>
          <w:tcPr>
            <w:tcW w:type="dxa" w:w="14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Timing</w:t>
            </w:r>
          </w:p>
        </w:tc>
        <w:tc>
          <w:tcPr>
            <w:tcW w:type="dxa" w:w="1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Channel</w:t>
            </w:r>
          </w:p>
        </w:tc>
        <w:tc>
          <w:tcPr>
            <w:tcW w:type="dxa" w:w="59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Message</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7</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“Complete your setup” — SKU-matched bundle (hot tub → start-up chemicals, cover lifter, steps; pool equipment → automation, LED, safety cover)</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14</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SMS</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Reminder with offer expiration to create urgency</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45</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Seasonal accessory follow-on (e.g., cool-weather spa accessories, energy-saving cover)</w:t>
            </w:r>
          </w:p>
        </w:tc>
      </w:tr>
    </w:tbl>
    <w:p>
      <w:pPr>
        <w:spacing w:after="120"/>
      </w:pPr>
    </w:p>
    <w:p>
      <w:pPr>
        <w:spacing w:after="60"/>
      </w:pPr>
      <w:r>
        <w:rPr>
          <w:rFonts w:ascii="Calibri" w:cs="Calibri" w:eastAsia="Calibri" w:hAnsi="Calibri"/>
          <w:b/>
          <w:bCs/>
          <w:color w:val="222222"/>
          <w:sz w:val="22"/>
          <w:szCs w:val="22"/>
        </w:rPr>
        <w:t xml:space="preserve">Offer ideas</w:t>
      </w:r>
    </w:p>
    <w:p>
      <w:pPr>
        <w:pStyle w:val="ListParagraph"/>
        <w:numPr>
          <w:ilvl w:val="0"/>
          <w:numId w:val="2"/>
        </w:numPr>
        <w:spacing w:after="80"/>
      </w:pPr>
      <w:r>
        <w:rPr>
          <w:rFonts w:ascii="Calibri" w:cs="Calibri" w:eastAsia="Calibri" w:hAnsi="Calibri"/>
          <w:color w:val="222222"/>
          <w:sz w:val="22"/>
          <w:szCs w:val="22"/>
        </w:rPr>
        <w:t xml:space="preserve">Bundle pricing on the matched accessory set</w:t>
      </w:r>
    </w:p>
    <w:p>
      <w:pPr>
        <w:pStyle w:val="ListParagraph"/>
        <w:numPr>
          <w:ilvl w:val="0"/>
          <w:numId w:val="2"/>
        </w:numPr>
        <w:spacing w:after="80"/>
      </w:pPr>
      <w:r>
        <w:rPr>
          <w:rFonts w:ascii="Calibri" w:cs="Calibri" w:eastAsia="Calibri" w:hAnsi="Calibri"/>
          <w:color w:val="222222"/>
          <w:sz w:val="22"/>
          <w:szCs w:val="22"/>
        </w:rPr>
        <w:t xml:space="preserve">Free delivery/installation with accessory purchase over a threshold</w:t>
      </w:r>
    </w:p>
    <w:p>
      <w:pPr>
        <w:spacing w:after="60"/>
      </w:pPr>
      <w:r>
        <w:rPr>
          <w:rFonts w:ascii="Calibri" w:cs="Calibri" w:eastAsia="Calibri" w:hAnsi="Calibri"/>
          <w:b/>
          <w:bCs/>
          <w:color w:val="222222"/>
          <w:sz w:val="22"/>
          <w:szCs w:val="22"/>
        </w:rPr>
        <w:t xml:space="preserve">KPIs</w:t>
      </w:r>
    </w:p>
    <w:p>
      <w:pPr>
        <w:pStyle w:val="ListParagraph"/>
        <w:numPr>
          <w:ilvl w:val="0"/>
          <w:numId w:val="2"/>
        </w:numPr>
        <w:spacing w:after="80"/>
      </w:pPr>
      <w:r>
        <w:rPr>
          <w:rFonts w:ascii="Calibri" w:cs="Calibri" w:eastAsia="Calibri" w:hAnsi="Calibri"/>
          <w:color w:val="222222"/>
          <w:sz w:val="22"/>
          <w:szCs w:val="22"/>
        </w:rPr>
        <w:t xml:space="preserve">Cross-sell revenue per major-item buyer</w:t>
      </w:r>
    </w:p>
    <w:p>
      <w:pPr>
        <w:pStyle w:val="ListParagraph"/>
        <w:numPr>
          <w:ilvl w:val="0"/>
          <w:numId w:val="2"/>
        </w:numPr>
        <w:spacing w:after="80"/>
      </w:pPr>
      <w:r>
        <w:rPr>
          <w:rFonts w:ascii="Calibri" w:cs="Calibri" w:eastAsia="Calibri" w:hAnsi="Calibri"/>
          <w:color w:val="222222"/>
          <w:sz w:val="22"/>
          <w:szCs w:val="22"/>
        </w:rPr>
        <w:t xml:space="preserve">Campaign-attributed order rate within 60 days</w:t>
      </w:r>
    </w:p>
    <w:p>
      <w:pPr>
        <w:spacing w:after="200"/>
      </w:pPr>
      <w:r>
        <w:rPr>
          <w:rFonts w:ascii="Calibri" w:cs="Calibri" w:eastAsia="Calibri" w:hAnsi="Calibri"/>
          <w:b/>
          <w:bCs/>
          <w:color w:val="21295C"/>
          <w:sz w:val="22"/>
          <w:szCs w:val="22"/>
        </w:rPr>
        <w:t xml:space="preserve">Why it pays. </w:t>
      </w:r>
      <w:r>
        <w:rPr>
          <w:rFonts w:ascii="Calibri" w:cs="Calibri" w:eastAsia="Calibri" w:hAnsi="Calibri"/>
          <w:i/>
          <w:iCs/>
          <w:color w:val="222222"/>
          <w:sz w:val="22"/>
          <w:szCs w:val="22"/>
        </w:rPr>
        <w:t xml:space="preserve">Hot tub buyers typically spend $300–$600 on accessories in the first 90 days when prompted; unprompted, most of that spend leaks to Amazon and big-box stores.</w:t>
      </w:r>
    </w:p>
    <w:p>
      <w:pPr>
        <w:pStyle w:val="Heading2"/>
        <w:spacing w:after="60" w:before="280"/>
      </w:pPr>
      <w:r>
        <w:rPr>
          <w:rFonts w:ascii="Cambria" w:cs="Cambria" w:eastAsia="Cambria" w:hAnsi="Cambria"/>
          <w:b/>
          <w:bCs/>
          <w:color w:val="065A82"/>
          <w:sz w:val="26"/>
          <w:szCs w:val="26"/>
        </w:rPr>
        <w:t xml:space="preserve">Campaign 3: Service Excellence Loop</w:t>
      </w:r>
    </w:p>
    <w:p>
      <w:pPr>
        <w:spacing w:after="100"/>
      </w:pPr>
      <w:r>
        <w:rPr>
          <w:rFonts w:ascii="Calibri" w:cs="Calibri" w:eastAsia="Calibri" w:hAnsi="Calibri"/>
          <w:b/>
          <w:bCs/>
          <w:color w:val="1C7293"/>
          <w:sz w:val="20"/>
          <w:szCs w:val="20"/>
        </w:rPr>
        <w:t xml:space="preserve">Service &amp; Retain</w:t>
      </w:r>
      <w:r>
        <w:rPr>
          <w:rFonts w:ascii="Calibri" w:cs="Calibri" w:eastAsia="Calibri" w:hAnsi="Calibri"/>
          <w:i/>
          <w:iCs/>
          <w:color w:val="5A6B76"/>
          <w:sz w:val="20"/>
          <w:szCs w:val="20"/>
        </w:rPr>
        <w:t xml:space="preserve">   •   Available at launch</w:t>
      </w:r>
    </w:p>
    <w:p>
      <w:pPr>
        <w:spacing w:after="120"/>
      </w:pPr>
      <w:r>
        <w:rPr>
          <w:rFonts w:ascii="Calibri" w:cs="Calibri" w:eastAsia="Calibri" w:hAnsi="Calibri"/>
          <w:b/>
          <w:bCs/>
          <w:color w:val="222222"/>
          <w:sz w:val="22"/>
          <w:szCs w:val="22"/>
        </w:rPr>
        <w:t xml:space="preserve">Objective. </w:t>
      </w:r>
      <w:r>
        <w:rPr>
          <w:rFonts w:ascii="Calibri" w:cs="Calibri" w:eastAsia="Calibri" w:hAnsi="Calibri"/>
          <w:color w:val="222222"/>
          <w:sz w:val="22"/>
          <w:szCs w:val="22"/>
        </w:rPr>
        <w:t xml:space="preserve">Turn every completed service visit into a review, a saved detractor, or a service-plan conversion.</w:t>
      </w:r>
    </w:p>
    <w:p>
      <w:pPr>
        <w:spacing w:after="120"/>
      </w:pPr>
      <w:r>
        <w:rPr>
          <w:rFonts w:ascii="Calibri" w:cs="Calibri" w:eastAsia="Calibri" w:hAnsi="Calibri"/>
          <w:b/>
          <w:bCs/>
          <w:color w:val="222222"/>
          <w:sz w:val="22"/>
          <w:szCs w:val="22"/>
        </w:rPr>
        <w:t xml:space="preserve">LOU trigger. </w:t>
      </w:r>
      <w:r>
        <w:rPr>
          <w:rFonts w:ascii="Calibri" w:cs="Calibri" w:eastAsia="Calibri" w:hAnsi="Calibri"/>
          <w:color w:val="222222"/>
          <w:sz w:val="22"/>
          <w:szCs w:val="22"/>
        </w:rPr>
        <w:t xml:space="preserve">Work order completed in LOU.</w:t>
      </w:r>
    </w:p>
    <w:p>
      <w:pPr>
        <w:spacing w:after="120"/>
      </w:pPr>
      <w:r>
        <w:rPr>
          <w:rFonts w:ascii="Calibri" w:cs="Calibri" w:eastAsia="Calibri" w:hAnsi="Calibri"/>
          <w:b/>
          <w:bCs/>
          <w:color w:val="222222"/>
          <w:sz w:val="22"/>
          <w:szCs w:val="22"/>
        </w:rPr>
        <w:t xml:space="preserve">Audience. </w:t>
      </w:r>
      <w:r>
        <w:rPr>
          <w:rFonts w:ascii="Calibri" w:cs="Calibri" w:eastAsia="Calibri" w:hAnsi="Calibri"/>
          <w:color w:val="222222"/>
          <w:sz w:val="22"/>
          <w:szCs w:val="22"/>
        </w:rPr>
        <w:t xml:space="preserve">Every customer with a completed Work order (excluded from re-entry for 30 days).</w:t>
      </w:r>
    </w:p>
    <w:p>
      <w:pPr>
        <w:spacing w:after="60"/>
      </w:pPr>
      <w:r>
        <w:rPr>
          <w:rFonts w:ascii="Calibri" w:cs="Calibri" w:eastAsia="Calibri" w:hAnsi="Calibri"/>
          <w:b/>
          <w:bCs/>
          <w:color w:val="222222"/>
          <w:sz w:val="22"/>
          <w:szCs w:val="22"/>
        </w:rPr>
        <w:t xml:space="preserve">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500"/>
        <w:gridCol w:w="5960"/>
      </w:tblGrid>
      <w:tr>
        <w:trPr>
          <w:tblHeader/>
        </w:trPr>
        <w:tc>
          <w:tcPr>
            <w:tcW w:type="dxa" w:w="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t>
            </w:r>
          </w:p>
        </w:tc>
        <w:tc>
          <w:tcPr>
            <w:tcW w:type="dxa" w:w="14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Timing</w:t>
            </w:r>
          </w:p>
        </w:tc>
        <w:tc>
          <w:tcPr>
            <w:tcW w:type="dxa" w:w="1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Channel</w:t>
            </w:r>
          </w:p>
        </w:tc>
        <w:tc>
          <w:tcPr>
            <w:tcW w:type="dxa" w:w="59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Message</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0–1</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SMS</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One-tap satisfaction check (1–5 rating)</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0–1</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Auto-branch</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4–5 rating → Google review link; 1–3 rating → instant alert to the dealer + “we’ll make it right” reply</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14</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Service plan / maintenance membership offer with plan math</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4</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30</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Referral ask: “Know a neighbor with a pool?” with a two-sided reward</w:t>
            </w:r>
          </w:p>
        </w:tc>
      </w:tr>
    </w:tbl>
    <w:p>
      <w:pPr>
        <w:spacing w:after="120"/>
      </w:pPr>
    </w:p>
    <w:p>
      <w:pPr>
        <w:spacing w:after="60"/>
      </w:pPr>
      <w:r>
        <w:rPr>
          <w:rFonts w:ascii="Calibri" w:cs="Calibri" w:eastAsia="Calibri" w:hAnsi="Calibri"/>
          <w:b/>
          <w:bCs/>
          <w:color w:val="222222"/>
          <w:sz w:val="22"/>
          <w:szCs w:val="22"/>
        </w:rPr>
        <w:t xml:space="preserve">Offer ideas</w:t>
      </w:r>
    </w:p>
    <w:p>
      <w:pPr>
        <w:pStyle w:val="ListParagraph"/>
        <w:numPr>
          <w:ilvl w:val="0"/>
          <w:numId w:val="2"/>
        </w:numPr>
        <w:spacing w:after="80"/>
      </w:pPr>
      <w:r>
        <w:rPr>
          <w:rFonts w:ascii="Calibri" w:cs="Calibri" w:eastAsia="Calibri" w:hAnsi="Calibri"/>
          <w:color w:val="222222"/>
          <w:sz w:val="22"/>
          <w:szCs w:val="22"/>
        </w:rPr>
        <w:t xml:space="preserve">First month of a maintenance plan discounted</w:t>
      </w:r>
    </w:p>
    <w:p>
      <w:pPr>
        <w:pStyle w:val="ListParagraph"/>
        <w:numPr>
          <w:ilvl w:val="0"/>
          <w:numId w:val="2"/>
        </w:numPr>
        <w:spacing w:after="80"/>
      </w:pPr>
      <w:r>
        <w:rPr>
          <w:rFonts w:ascii="Calibri" w:cs="Calibri" w:eastAsia="Calibri" w:hAnsi="Calibri"/>
          <w:color w:val="222222"/>
          <w:sz w:val="22"/>
          <w:szCs w:val="22"/>
        </w:rPr>
        <w:t xml:space="preserve">Two-sided referral reward ($ credit for both parties)</w:t>
      </w:r>
    </w:p>
    <w:p>
      <w:pPr>
        <w:spacing w:after="60"/>
      </w:pPr>
      <w:r>
        <w:rPr>
          <w:rFonts w:ascii="Calibri" w:cs="Calibri" w:eastAsia="Calibri" w:hAnsi="Calibri"/>
          <w:b/>
          <w:bCs/>
          <w:color w:val="222222"/>
          <w:sz w:val="22"/>
          <w:szCs w:val="22"/>
        </w:rPr>
        <w:t xml:space="preserve">KPIs</w:t>
      </w:r>
    </w:p>
    <w:p>
      <w:pPr>
        <w:pStyle w:val="ListParagraph"/>
        <w:numPr>
          <w:ilvl w:val="0"/>
          <w:numId w:val="2"/>
        </w:numPr>
        <w:spacing w:after="80"/>
      </w:pPr>
      <w:r>
        <w:rPr>
          <w:rFonts w:ascii="Calibri" w:cs="Calibri" w:eastAsia="Calibri" w:hAnsi="Calibri"/>
          <w:color w:val="222222"/>
          <w:sz w:val="22"/>
          <w:szCs w:val="22"/>
        </w:rPr>
        <w:t xml:space="preserve">Review volume and average rating trend</w:t>
      </w:r>
    </w:p>
    <w:p>
      <w:pPr>
        <w:pStyle w:val="ListParagraph"/>
        <w:numPr>
          <w:ilvl w:val="0"/>
          <w:numId w:val="2"/>
        </w:numPr>
        <w:spacing w:after="80"/>
      </w:pPr>
      <w:r>
        <w:rPr>
          <w:rFonts w:ascii="Calibri" w:cs="Calibri" w:eastAsia="Calibri" w:hAnsi="Calibri"/>
          <w:color w:val="222222"/>
          <w:sz w:val="22"/>
          <w:szCs w:val="22"/>
        </w:rPr>
        <w:t xml:space="preserve">Detractors caught before they post publicly</w:t>
      </w:r>
    </w:p>
    <w:p>
      <w:pPr>
        <w:pStyle w:val="ListParagraph"/>
        <w:numPr>
          <w:ilvl w:val="0"/>
          <w:numId w:val="2"/>
        </w:numPr>
        <w:spacing w:after="80"/>
      </w:pPr>
      <w:r>
        <w:rPr>
          <w:rFonts w:ascii="Calibri" w:cs="Calibri" w:eastAsia="Calibri" w:hAnsi="Calibri"/>
          <w:color w:val="222222"/>
          <w:sz w:val="22"/>
          <w:szCs w:val="22"/>
        </w:rPr>
        <w:t xml:space="preserve">Service-plan conversion rate (target 5–8% of serviced customers)</w:t>
      </w:r>
    </w:p>
    <w:p>
      <w:pPr>
        <w:spacing w:after="200"/>
      </w:pPr>
      <w:r>
        <w:rPr>
          <w:rFonts w:ascii="Calibri" w:cs="Calibri" w:eastAsia="Calibri" w:hAnsi="Calibri"/>
          <w:b/>
          <w:bCs/>
          <w:color w:val="21295C"/>
          <w:sz w:val="22"/>
          <w:szCs w:val="22"/>
        </w:rPr>
        <w:t xml:space="preserve">Why it pays. </w:t>
      </w:r>
      <w:r>
        <w:rPr>
          <w:rFonts w:ascii="Calibri" w:cs="Calibri" w:eastAsia="Calibri" w:hAnsi="Calibri"/>
          <w:i/>
          <w:iCs/>
          <w:color w:val="222222"/>
          <w:sz w:val="22"/>
          <w:szCs w:val="22"/>
        </w:rPr>
        <w:t xml:space="preserve">Recurring maintenance memberships convert one-time service calls into predictable monthly revenue, and review velocity compounds local search visibility — which drives the next wave of service calls.</w:t>
      </w:r>
    </w:p>
    <w:p>
      <w:pPr>
        <w:pStyle w:val="Heading2"/>
        <w:spacing w:after="60" w:before="280"/>
      </w:pPr>
      <w:r>
        <w:rPr>
          <w:rFonts w:ascii="Cambria" w:cs="Cambria" w:eastAsia="Cambria" w:hAnsi="Cambria"/>
          <w:b/>
          <w:bCs/>
          <w:color w:val="065A82"/>
          <w:sz w:val="26"/>
          <w:szCs w:val="26"/>
        </w:rPr>
        <w:t xml:space="preserve">Campaign 4: Quote Rescue</w:t>
      </w:r>
    </w:p>
    <w:p>
      <w:pPr>
        <w:spacing w:after="100"/>
      </w:pPr>
      <w:r>
        <w:rPr>
          <w:rFonts w:ascii="Calibri" w:cs="Calibri" w:eastAsia="Calibri" w:hAnsi="Calibri"/>
          <w:b/>
          <w:bCs/>
          <w:color w:val="1C7293"/>
          <w:sz w:val="20"/>
          <w:szCs w:val="20"/>
        </w:rPr>
        <w:t xml:space="preserve">Recover &amp; Upgrade</w:t>
      </w:r>
      <w:r>
        <w:rPr>
          <w:rFonts w:ascii="Calibri" w:cs="Calibri" w:eastAsia="Calibri" w:hAnsi="Calibri"/>
          <w:i/>
          <w:iCs/>
          <w:color w:val="5A6B76"/>
          <w:sz w:val="20"/>
          <w:szCs w:val="20"/>
        </w:rPr>
        <w:t xml:space="preserve">   •   Roadmap trigger (open quotes/estimates)</w:t>
      </w:r>
    </w:p>
    <w:p>
      <w:pPr>
        <w:spacing w:after="120"/>
      </w:pPr>
      <w:r>
        <w:rPr>
          <w:rFonts w:ascii="Calibri" w:cs="Calibri" w:eastAsia="Calibri" w:hAnsi="Calibri"/>
          <w:b/>
          <w:bCs/>
          <w:color w:val="222222"/>
          <w:sz w:val="22"/>
          <w:szCs w:val="22"/>
        </w:rPr>
        <w:t xml:space="preserve">Objective. </w:t>
      </w:r>
      <w:r>
        <w:rPr>
          <w:rFonts w:ascii="Calibri" w:cs="Calibri" w:eastAsia="Calibri" w:hAnsi="Calibri"/>
          <w:color w:val="222222"/>
          <w:sz w:val="22"/>
          <w:szCs w:val="22"/>
        </w:rPr>
        <w:t xml:space="preserve">Recover big-ticket revenue from estimates that stall — usually the single largest ROI line in the entire program.</w:t>
      </w:r>
    </w:p>
    <w:p>
      <w:pPr>
        <w:spacing w:after="120"/>
      </w:pPr>
      <w:r>
        <w:rPr>
          <w:rFonts w:ascii="Calibri" w:cs="Calibri" w:eastAsia="Calibri" w:hAnsi="Calibri"/>
          <w:b/>
          <w:bCs/>
          <w:color w:val="222222"/>
          <w:sz w:val="22"/>
          <w:szCs w:val="22"/>
        </w:rPr>
        <w:t xml:space="preserve">LOU trigger. </w:t>
      </w:r>
      <w:r>
        <w:rPr>
          <w:rFonts w:ascii="Calibri" w:cs="Calibri" w:eastAsia="Calibri" w:hAnsi="Calibri"/>
          <w:color w:val="222222"/>
          <w:sz w:val="22"/>
          <w:szCs w:val="22"/>
        </w:rPr>
        <w:t xml:space="preserve">Quote/estimate created in LOU and not converted after N days. Requires a quote-status data trigger — a natural Phase 2 addition to the Evosus API roadmap.</w:t>
      </w:r>
    </w:p>
    <w:p>
      <w:pPr>
        <w:spacing w:after="120"/>
      </w:pPr>
      <w:r>
        <w:rPr>
          <w:rFonts w:ascii="Calibri" w:cs="Calibri" w:eastAsia="Calibri" w:hAnsi="Calibri"/>
          <w:b/>
          <w:bCs/>
          <w:color w:val="222222"/>
          <w:sz w:val="22"/>
          <w:szCs w:val="22"/>
        </w:rPr>
        <w:t xml:space="preserve">Audience. </w:t>
      </w:r>
      <w:r>
        <w:rPr>
          <w:rFonts w:ascii="Calibri" w:cs="Calibri" w:eastAsia="Calibri" w:hAnsi="Calibri"/>
          <w:color w:val="222222"/>
          <w:sz w:val="22"/>
          <w:szCs w:val="22"/>
        </w:rPr>
        <w:t xml:space="preserve">Open quotes older than 2 days, uncontacted or unconverted.</w:t>
      </w:r>
    </w:p>
    <w:p>
      <w:pPr>
        <w:spacing w:after="60"/>
      </w:pPr>
      <w:r>
        <w:rPr>
          <w:rFonts w:ascii="Calibri" w:cs="Calibri" w:eastAsia="Calibri" w:hAnsi="Calibri"/>
          <w:b/>
          <w:bCs/>
          <w:color w:val="222222"/>
          <w:sz w:val="22"/>
          <w:szCs w:val="22"/>
        </w:rPr>
        <w:t xml:space="preserve">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500"/>
        <w:gridCol w:w="5960"/>
      </w:tblGrid>
      <w:tr>
        <w:trPr>
          <w:tblHeader/>
        </w:trPr>
        <w:tc>
          <w:tcPr>
            <w:tcW w:type="dxa" w:w="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t>
            </w:r>
          </w:p>
        </w:tc>
        <w:tc>
          <w:tcPr>
            <w:tcW w:type="dxa" w:w="14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Timing</w:t>
            </w:r>
          </w:p>
        </w:tc>
        <w:tc>
          <w:tcPr>
            <w:tcW w:type="dxa" w:w="1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Channel</w:t>
            </w:r>
          </w:p>
        </w:tc>
        <w:tc>
          <w:tcPr>
            <w:tcW w:type="dxa" w:w="59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Message</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2</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Quote recap with photos and what’s included</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5</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SMS</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“Any questions on your quote? Happy to walk through it.”</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9</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Objection buster: financing / monthly-payment framing</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4</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14</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Seasonal urgency: install slots and lead times</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5</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21</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Last call with a modest incentive or expiry date</w:t>
            </w:r>
          </w:p>
        </w:tc>
      </w:tr>
    </w:tbl>
    <w:p>
      <w:pPr>
        <w:spacing w:after="120"/>
      </w:pPr>
    </w:p>
    <w:p>
      <w:pPr>
        <w:spacing w:after="60"/>
      </w:pPr>
      <w:r>
        <w:rPr>
          <w:rFonts w:ascii="Calibri" w:cs="Calibri" w:eastAsia="Calibri" w:hAnsi="Calibri"/>
          <w:b/>
          <w:bCs/>
          <w:color w:val="222222"/>
          <w:sz w:val="22"/>
          <w:szCs w:val="22"/>
        </w:rPr>
        <w:t xml:space="preserve">Offer ideas</w:t>
      </w:r>
    </w:p>
    <w:p>
      <w:pPr>
        <w:pStyle w:val="ListParagraph"/>
        <w:numPr>
          <w:ilvl w:val="0"/>
          <w:numId w:val="2"/>
        </w:numPr>
        <w:spacing w:after="80"/>
      </w:pPr>
      <w:r>
        <w:rPr>
          <w:rFonts w:ascii="Calibri" w:cs="Calibri" w:eastAsia="Calibri" w:hAnsi="Calibri"/>
          <w:color w:val="222222"/>
          <w:sz w:val="22"/>
          <w:szCs w:val="22"/>
        </w:rPr>
        <w:t xml:space="preserve">Financing pre-qualification link</w:t>
      </w:r>
    </w:p>
    <w:p>
      <w:pPr>
        <w:pStyle w:val="ListParagraph"/>
        <w:numPr>
          <w:ilvl w:val="0"/>
          <w:numId w:val="2"/>
        </w:numPr>
        <w:spacing w:after="80"/>
      </w:pPr>
      <w:r>
        <w:rPr>
          <w:rFonts w:ascii="Calibri" w:cs="Calibri" w:eastAsia="Calibri" w:hAnsi="Calibri"/>
          <w:color w:val="222222"/>
          <w:sz w:val="22"/>
          <w:szCs w:val="22"/>
        </w:rPr>
        <w:t xml:space="preserve">Time-boxed incentive (free upgrade, delivery, or chemicals starter kit)</w:t>
      </w:r>
    </w:p>
    <w:p>
      <w:pPr>
        <w:spacing w:after="60"/>
      </w:pPr>
      <w:r>
        <w:rPr>
          <w:rFonts w:ascii="Calibri" w:cs="Calibri" w:eastAsia="Calibri" w:hAnsi="Calibri"/>
          <w:b/>
          <w:bCs/>
          <w:color w:val="222222"/>
          <w:sz w:val="22"/>
          <w:szCs w:val="22"/>
        </w:rPr>
        <w:t xml:space="preserve">KPIs</w:t>
      </w:r>
    </w:p>
    <w:p>
      <w:pPr>
        <w:pStyle w:val="ListParagraph"/>
        <w:numPr>
          <w:ilvl w:val="0"/>
          <w:numId w:val="2"/>
        </w:numPr>
        <w:spacing w:after="80"/>
      </w:pPr>
      <w:r>
        <w:rPr>
          <w:rFonts w:ascii="Calibri" w:cs="Calibri" w:eastAsia="Calibri" w:hAnsi="Calibri"/>
          <w:color w:val="222222"/>
          <w:sz w:val="22"/>
          <w:szCs w:val="22"/>
        </w:rPr>
        <w:t xml:space="preserve">Quote-to-close rate lift vs. baseline</w:t>
      </w:r>
    </w:p>
    <w:p>
      <w:pPr>
        <w:pStyle w:val="ListParagraph"/>
        <w:numPr>
          <w:ilvl w:val="0"/>
          <w:numId w:val="2"/>
        </w:numPr>
        <w:spacing w:after="80"/>
      </w:pPr>
      <w:r>
        <w:rPr>
          <w:rFonts w:ascii="Calibri" w:cs="Calibri" w:eastAsia="Calibri" w:hAnsi="Calibri"/>
          <w:color w:val="222222"/>
          <w:sz w:val="22"/>
          <w:szCs w:val="22"/>
        </w:rPr>
        <w:t xml:space="preserve">Recovered revenue per 100 quotes</w:t>
      </w:r>
    </w:p>
    <w:p>
      <w:pPr>
        <w:spacing w:after="200"/>
      </w:pPr>
      <w:r>
        <w:rPr>
          <w:rFonts w:ascii="Calibri" w:cs="Calibri" w:eastAsia="Calibri" w:hAnsi="Calibri"/>
          <w:b/>
          <w:bCs/>
          <w:color w:val="21295C"/>
          <w:sz w:val="22"/>
          <w:szCs w:val="22"/>
        </w:rPr>
        <w:t xml:space="preserve">Why it pays. </w:t>
      </w:r>
      <w:r>
        <w:rPr>
          <w:rFonts w:ascii="Calibri" w:cs="Calibri" w:eastAsia="Calibri" w:hAnsi="Calibri"/>
          <w:i/>
          <w:iCs/>
          <w:color w:val="222222"/>
          <w:sz w:val="22"/>
          <w:szCs w:val="22"/>
        </w:rPr>
        <w:t xml:space="preserve">On $8,000–$15,000 average tickets, recovering even 5% of otherwise-dead quotes typically outearns every other campaign combined.</w:t>
      </w:r>
    </w:p>
    <w:p>
      <w:pPr>
        <w:pStyle w:val="Heading2"/>
        <w:spacing w:after="60" w:before="280"/>
      </w:pPr>
      <w:r>
        <w:rPr>
          <w:rFonts w:ascii="Cambria" w:cs="Cambria" w:eastAsia="Cambria" w:hAnsi="Cambria"/>
          <w:b/>
          <w:bCs/>
          <w:color w:val="065A82"/>
          <w:sz w:val="26"/>
          <w:szCs w:val="26"/>
        </w:rPr>
        <w:t xml:space="preserve">Campaign 5: Water Care Autopilot</w:t>
      </w:r>
    </w:p>
    <w:p>
      <w:pPr>
        <w:spacing w:after="100"/>
      </w:pPr>
      <w:r>
        <w:rPr>
          <w:rFonts w:ascii="Calibri" w:cs="Calibri" w:eastAsia="Calibri" w:hAnsi="Calibri"/>
          <w:b/>
          <w:bCs/>
          <w:color w:val="1C7293"/>
          <w:sz w:val="20"/>
          <w:szCs w:val="20"/>
        </w:rPr>
        <w:t xml:space="preserve">Service &amp; Retain</w:t>
      </w:r>
      <w:r>
        <w:rPr>
          <w:rFonts w:ascii="Calibri" w:cs="Calibri" w:eastAsia="Calibri" w:hAnsi="Calibri"/>
          <w:i/>
          <w:iCs/>
          <w:color w:val="5A6B76"/>
          <w:sz w:val="20"/>
          <w:szCs w:val="20"/>
        </w:rPr>
        <w:t xml:space="preserve">   •   Available at launch</w:t>
      </w:r>
    </w:p>
    <w:p>
      <w:pPr>
        <w:spacing w:after="120"/>
      </w:pPr>
      <w:r>
        <w:rPr>
          <w:rFonts w:ascii="Calibri" w:cs="Calibri" w:eastAsia="Calibri" w:hAnsi="Calibri"/>
          <w:b/>
          <w:bCs/>
          <w:color w:val="222222"/>
          <w:sz w:val="22"/>
          <w:szCs w:val="22"/>
        </w:rPr>
        <w:t xml:space="preserve">Objective. </w:t>
      </w:r>
      <w:r>
        <w:rPr>
          <w:rFonts w:ascii="Calibri" w:cs="Calibri" w:eastAsia="Calibri" w:hAnsi="Calibri"/>
          <w:color w:val="222222"/>
          <w:sz w:val="22"/>
          <w:szCs w:val="22"/>
        </w:rPr>
        <w:t xml:space="preserve">Capture the recurring chemical and filter spend that otherwise defaults to Amazon, on the customer’s natural depletion cycle.</w:t>
      </w:r>
    </w:p>
    <w:p>
      <w:pPr>
        <w:spacing w:after="120"/>
      </w:pPr>
      <w:r>
        <w:rPr>
          <w:rFonts w:ascii="Calibri" w:cs="Calibri" w:eastAsia="Calibri" w:hAnsi="Calibri"/>
          <w:b/>
          <w:bCs/>
          <w:color w:val="222222"/>
          <w:sz w:val="22"/>
          <w:szCs w:val="22"/>
        </w:rPr>
        <w:t xml:space="preserve">LOU trigger. </w:t>
      </w:r>
      <w:r>
        <w:rPr>
          <w:rFonts w:ascii="Calibri" w:cs="Calibri" w:eastAsia="Calibri" w:hAnsi="Calibri"/>
          <w:color w:val="222222"/>
          <w:sz w:val="22"/>
          <w:szCs w:val="22"/>
        </w:rPr>
        <w:t xml:space="preserve">Consumable SKU purchase date + typical depletion cycle (sanitizer ~8–12 weeks; filters ~6–12 months).</w:t>
      </w:r>
    </w:p>
    <w:p>
      <w:pPr>
        <w:spacing w:after="120"/>
      </w:pPr>
      <w:r>
        <w:rPr>
          <w:rFonts w:ascii="Calibri" w:cs="Calibri" w:eastAsia="Calibri" w:hAnsi="Calibri"/>
          <w:b/>
          <w:bCs/>
          <w:color w:val="222222"/>
          <w:sz w:val="22"/>
          <w:szCs w:val="22"/>
        </w:rPr>
        <w:t xml:space="preserve">Audience. </w:t>
      </w:r>
      <w:r>
        <w:rPr>
          <w:rFonts w:ascii="Calibri" w:cs="Calibri" w:eastAsia="Calibri" w:hAnsi="Calibri"/>
          <w:color w:val="222222"/>
          <w:sz w:val="22"/>
          <w:szCs w:val="22"/>
        </w:rPr>
        <w:t xml:space="preserve">Customers with consumable purchases in their synced order history.</w:t>
      </w:r>
    </w:p>
    <w:p>
      <w:pPr>
        <w:spacing w:after="60"/>
      </w:pPr>
      <w:r>
        <w:rPr>
          <w:rFonts w:ascii="Calibri" w:cs="Calibri" w:eastAsia="Calibri" w:hAnsi="Calibri"/>
          <w:b/>
          <w:bCs/>
          <w:color w:val="222222"/>
          <w:sz w:val="22"/>
          <w:szCs w:val="22"/>
        </w:rPr>
        <w:t xml:space="preserve">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500"/>
        <w:gridCol w:w="5960"/>
      </w:tblGrid>
      <w:tr>
        <w:trPr>
          <w:tblHeader/>
        </w:trPr>
        <w:tc>
          <w:tcPr>
            <w:tcW w:type="dxa" w:w="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t>
            </w:r>
          </w:p>
        </w:tc>
        <w:tc>
          <w:tcPr>
            <w:tcW w:type="dxa" w:w="14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Timing</w:t>
            </w:r>
          </w:p>
        </w:tc>
        <w:tc>
          <w:tcPr>
            <w:tcW w:type="dxa" w:w="1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Channel</w:t>
            </w:r>
          </w:p>
        </w:tc>
        <w:tc>
          <w:tcPr>
            <w:tcW w:type="dxa" w:w="59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Message</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~80% of cycle</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“Running low?” reminder with one-click reorder into the dealer’s LOU ecommerce store</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100% of cycle</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SMS</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Short nudge if no reorder yet</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Quarterly</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Free water-test invitation to drive a store visit</w:t>
            </w:r>
          </w:p>
        </w:tc>
      </w:tr>
    </w:tbl>
    <w:p>
      <w:pPr>
        <w:spacing w:after="120"/>
      </w:pPr>
    </w:p>
    <w:p>
      <w:pPr>
        <w:spacing w:after="60"/>
      </w:pPr>
      <w:r>
        <w:rPr>
          <w:rFonts w:ascii="Calibri" w:cs="Calibri" w:eastAsia="Calibri" w:hAnsi="Calibri"/>
          <w:b/>
          <w:bCs/>
          <w:color w:val="222222"/>
          <w:sz w:val="22"/>
          <w:szCs w:val="22"/>
        </w:rPr>
        <w:t xml:space="preserve">Offer ideas</w:t>
      </w:r>
    </w:p>
    <w:p>
      <w:pPr>
        <w:pStyle w:val="ListParagraph"/>
        <w:numPr>
          <w:ilvl w:val="0"/>
          <w:numId w:val="2"/>
        </w:numPr>
        <w:spacing w:after="80"/>
      </w:pPr>
      <w:r>
        <w:rPr>
          <w:rFonts w:ascii="Calibri" w:cs="Calibri" w:eastAsia="Calibri" w:hAnsi="Calibri"/>
          <w:color w:val="222222"/>
          <w:sz w:val="22"/>
          <w:szCs w:val="22"/>
        </w:rPr>
        <w:t xml:space="preserve">Subscribe-and-save on recurring chemicals</w:t>
      </w:r>
    </w:p>
    <w:p>
      <w:pPr>
        <w:pStyle w:val="ListParagraph"/>
        <w:numPr>
          <w:ilvl w:val="0"/>
          <w:numId w:val="2"/>
        </w:numPr>
        <w:spacing w:after="80"/>
      </w:pPr>
      <w:r>
        <w:rPr>
          <w:rFonts w:ascii="Calibri" w:cs="Calibri" w:eastAsia="Calibri" w:hAnsi="Calibri"/>
          <w:color w:val="222222"/>
          <w:sz w:val="22"/>
          <w:szCs w:val="22"/>
        </w:rPr>
        <w:t xml:space="preserve">Bundle pricing on seasonal chemical kits</w:t>
      </w:r>
    </w:p>
    <w:p>
      <w:pPr>
        <w:spacing w:after="60"/>
      </w:pPr>
      <w:r>
        <w:rPr>
          <w:rFonts w:ascii="Calibri" w:cs="Calibri" w:eastAsia="Calibri" w:hAnsi="Calibri"/>
          <w:b/>
          <w:bCs/>
          <w:color w:val="222222"/>
          <w:sz w:val="22"/>
          <w:szCs w:val="22"/>
        </w:rPr>
        <w:t xml:space="preserve">KPIs</w:t>
      </w:r>
    </w:p>
    <w:p>
      <w:pPr>
        <w:pStyle w:val="ListParagraph"/>
        <w:numPr>
          <w:ilvl w:val="0"/>
          <w:numId w:val="2"/>
        </w:numPr>
        <w:spacing w:after="80"/>
      </w:pPr>
      <w:r>
        <w:rPr>
          <w:rFonts w:ascii="Calibri" w:cs="Calibri" w:eastAsia="Calibri" w:hAnsi="Calibri"/>
          <w:color w:val="222222"/>
          <w:sz w:val="22"/>
          <w:szCs w:val="22"/>
        </w:rPr>
        <w:t xml:space="preserve">Reorder rate and time-between-purchases compression</w:t>
      </w:r>
    </w:p>
    <w:p>
      <w:pPr>
        <w:pStyle w:val="ListParagraph"/>
        <w:numPr>
          <w:ilvl w:val="0"/>
          <w:numId w:val="2"/>
        </w:numPr>
        <w:spacing w:after="80"/>
      </w:pPr>
      <w:r>
        <w:rPr>
          <w:rFonts w:ascii="Calibri" w:cs="Calibri" w:eastAsia="Calibri" w:hAnsi="Calibri"/>
          <w:color w:val="222222"/>
          <w:sz w:val="22"/>
          <w:szCs w:val="22"/>
        </w:rPr>
        <w:t xml:space="preserve">Ecommerce revenue per enrolled customer</w:t>
      </w:r>
    </w:p>
    <w:p>
      <w:pPr>
        <w:spacing w:after="200"/>
      </w:pPr>
      <w:r>
        <w:rPr>
          <w:rFonts w:ascii="Calibri" w:cs="Calibri" w:eastAsia="Calibri" w:hAnsi="Calibri"/>
          <w:b/>
          <w:bCs/>
          <w:color w:val="21295C"/>
          <w:sz w:val="22"/>
          <w:szCs w:val="22"/>
        </w:rPr>
        <w:t xml:space="preserve">Why it pays. </w:t>
      </w:r>
      <w:r>
        <w:rPr>
          <w:rFonts w:ascii="Calibri" w:cs="Calibri" w:eastAsia="Calibri" w:hAnsi="Calibri"/>
          <w:i/>
          <w:iCs/>
          <w:color w:val="222222"/>
          <w:sz w:val="22"/>
          <w:szCs w:val="22"/>
        </w:rPr>
        <w:t xml:space="preserve">Water care is the classic leaky bucket: the dealer sold the tub, then loses $400–$800/year per customer of consumable spend to online sellers. This campaign plugs the leak with better timing, not deeper discounts.</w:t>
      </w:r>
    </w:p>
    <w:p>
      <w:pPr>
        <w:pStyle w:val="Heading2"/>
        <w:spacing w:after="60" w:before="280"/>
      </w:pPr>
      <w:r>
        <w:rPr>
          <w:rFonts w:ascii="Cambria" w:cs="Cambria" w:eastAsia="Cambria" w:hAnsi="Cambria"/>
          <w:b/>
          <w:bCs/>
          <w:color w:val="065A82"/>
          <w:sz w:val="26"/>
          <w:szCs w:val="26"/>
        </w:rPr>
        <w:t xml:space="preserve">Campaign 6: Season Ready</w:t>
      </w:r>
    </w:p>
    <w:p>
      <w:pPr>
        <w:spacing w:after="100"/>
      </w:pPr>
      <w:r>
        <w:rPr>
          <w:rFonts w:ascii="Calibri" w:cs="Calibri" w:eastAsia="Calibri" w:hAnsi="Calibri"/>
          <w:b/>
          <w:bCs/>
          <w:color w:val="1C7293"/>
          <w:sz w:val="20"/>
          <w:szCs w:val="20"/>
        </w:rPr>
        <w:t xml:space="preserve">Service &amp; Retain</w:t>
      </w:r>
      <w:r>
        <w:rPr>
          <w:rFonts w:ascii="Calibri" w:cs="Calibri" w:eastAsia="Calibri" w:hAnsi="Calibri"/>
          <w:i/>
          <w:iCs/>
          <w:color w:val="5A6B76"/>
          <w:sz w:val="20"/>
          <w:szCs w:val="20"/>
        </w:rPr>
        <w:t xml:space="preserve">   •   Available at launch</w:t>
      </w:r>
    </w:p>
    <w:p>
      <w:pPr>
        <w:spacing w:after="120"/>
      </w:pPr>
      <w:r>
        <w:rPr>
          <w:rFonts w:ascii="Calibri" w:cs="Calibri" w:eastAsia="Calibri" w:hAnsi="Calibri"/>
          <w:b/>
          <w:bCs/>
          <w:color w:val="222222"/>
          <w:sz w:val="22"/>
          <w:szCs w:val="22"/>
        </w:rPr>
        <w:t xml:space="preserve">Objective. </w:t>
      </w:r>
      <w:r>
        <w:rPr>
          <w:rFonts w:ascii="Calibri" w:cs="Calibri" w:eastAsia="Calibri" w:hAnsi="Calibri"/>
          <w:color w:val="222222"/>
          <w:sz w:val="22"/>
          <w:szCs w:val="22"/>
        </w:rPr>
        <w:t xml:space="preserve">Fill the service schedule early and smooth seasonal demand spikes using segment-aware seasonal pushes.</w:t>
      </w:r>
    </w:p>
    <w:p>
      <w:pPr>
        <w:spacing w:after="120"/>
      </w:pPr>
      <w:r>
        <w:rPr>
          <w:rFonts w:ascii="Calibri" w:cs="Calibri" w:eastAsia="Calibri" w:hAnsi="Calibri"/>
          <w:b/>
          <w:bCs/>
          <w:color w:val="222222"/>
          <w:sz w:val="22"/>
          <w:szCs w:val="22"/>
        </w:rPr>
        <w:t xml:space="preserve">LOU trigger. </w:t>
      </w:r>
      <w:r>
        <w:rPr>
          <w:rFonts w:ascii="Calibri" w:cs="Calibri" w:eastAsia="Calibri" w:hAnsi="Calibri"/>
          <w:color w:val="222222"/>
          <w:sz w:val="22"/>
          <w:szCs w:val="22"/>
        </w:rPr>
        <w:t xml:space="preserve">Customer segment derived from purchase history (pool owner vs. spa owner) + regional seasonal calendar.</w:t>
      </w:r>
    </w:p>
    <w:p>
      <w:pPr>
        <w:spacing w:after="120"/>
      </w:pPr>
      <w:r>
        <w:rPr>
          <w:rFonts w:ascii="Calibri" w:cs="Calibri" w:eastAsia="Calibri" w:hAnsi="Calibri"/>
          <w:b/>
          <w:bCs/>
          <w:color w:val="222222"/>
          <w:sz w:val="22"/>
          <w:szCs w:val="22"/>
        </w:rPr>
        <w:t xml:space="preserve">Audience. </w:t>
      </w:r>
      <w:r>
        <w:rPr>
          <w:rFonts w:ascii="Calibri" w:cs="Calibri" w:eastAsia="Calibri" w:hAnsi="Calibri"/>
          <w:color w:val="222222"/>
          <w:sz w:val="22"/>
          <w:szCs w:val="22"/>
        </w:rPr>
        <w:t xml:space="preserve">Full synced customer base, branched by segment.</w:t>
      </w:r>
    </w:p>
    <w:p>
      <w:pPr>
        <w:spacing w:after="60"/>
      </w:pPr>
      <w:r>
        <w:rPr>
          <w:rFonts w:ascii="Calibri" w:cs="Calibri" w:eastAsia="Calibri" w:hAnsi="Calibri"/>
          <w:b/>
          <w:bCs/>
          <w:color w:val="222222"/>
          <w:sz w:val="22"/>
          <w:szCs w:val="22"/>
        </w:rPr>
        <w:t xml:space="preserve">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500"/>
        <w:gridCol w:w="5960"/>
      </w:tblGrid>
      <w:tr>
        <w:trPr>
          <w:tblHeader/>
        </w:trPr>
        <w:tc>
          <w:tcPr>
            <w:tcW w:type="dxa" w:w="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t>
            </w:r>
          </w:p>
        </w:tc>
        <w:tc>
          <w:tcPr>
            <w:tcW w:type="dxa" w:w="14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Timing</w:t>
            </w:r>
          </w:p>
        </w:tc>
        <w:tc>
          <w:tcPr>
            <w:tcW w:type="dxa" w:w="1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Channel</w:t>
            </w:r>
          </w:p>
        </w:tc>
        <w:tc>
          <w:tcPr>
            <w:tcW w:type="dxa" w:w="59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Message</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Early spring</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 + SMS</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Pool-opening early-bird booking with priority scheduling</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Late spring</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Chemical stock-up for the season</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Mid-summer</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Mid-season tune-up / filter clean</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4</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Early fall</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 + SMS</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Closing/winterization booking + cover inspection</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5</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Winter</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Hot tub season kickoff; holiday gifting for spa owners</w:t>
            </w:r>
          </w:p>
        </w:tc>
      </w:tr>
    </w:tbl>
    <w:p>
      <w:pPr>
        <w:spacing w:after="120"/>
      </w:pPr>
    </w:p>
    <w:p>
      <w:pPr>
        <w:spacing w:after="60"/>
      </w:pPr>
      <w:r>
        <w:rPr>
          <w:rFonts w:ascii="Calibri" w:cs="Calibri" w:eastAsia="Calibri" w:hAnsi="Calibri"/>
          <w:b/>
          <w:bCs/>
          <w:color w:val="222222"/>
          <w:sz w:val="22"/>
          <w:szCs w:val="22"/>
        </w:rPr>
        <w:t xml:space="preserve">Offer ideas</w:t>
      </w:r>
    </w:p>
    <w:p>
      <w:pPr>
        <w:pStyle w:val="ListParagraph"/>
        <w:numPr>
          <w:ilvl w:val="0"/>
          <w:numId w:val="2"/>
        </w:numPr>
        <w:spacing w:after="80"/>
      </w:pPr>
      <w:r>
        <w:rPr>
          <w:rFonts w:ascii="Calibri" w:cs="Calibri" w:eastAsia="Calibri" w:hAnsi="Calibri"/>
          <w:color w:val="222222"/>
          <w:sz w:val="22"/>
          <w:szCs w:val="22"/>
        </w:rPr>
        <w:t xml:space="preserve">Early-bird pricing before a cutoff date</w:t>
      </w:r>
    </w:p>
    <w:p>
      <w:pPr>
        <w:pStyle w:val="ListParagraph"/>
        <w:numPr>
          <w:ilvl w:val="0"/>
          <w:numId w:val="2"/>
        </w:numPr>
        <w:spacing w:after="80"/>
      </w:pPr>
      <w:r>
        <w:rPr>
          <w:rFonts w:ascii="Calibri" w:cs="Calibri" w:eastAsia="Calibri" w:hAnsi="Calibri"/>
          <w:color w:val="222222"/>
          <w:sz w:val="22"/>
          <w:szCs w:val="22"/>
        </w:rPr>
        <w:t xml:space="preserve">Priority scheduling for service-plan members (reinforces Campaign 3)</w:t>
      </w:r>
    </w:p>
    <w:p>
      <w:pPr>
        <w:spacing w:after="60"/>
      </w:pPr>
      <w:r>
        <w:rPr>
          <w:rFonts w:ascii="Calibri" w:cs="Calibri" w:eastAsia="Calibri" w:hAnsi="Calibri"/>
          <w:b/>
          <w:bCs/>
          <w:color w:val="222222"/>
          <w:sz w:val="22"/>
          <w:szCs w:val="22"/>
        </w:rPr>
        <w:t xml:space="preserve">KPIs</w:t>
      </w:r>
    </w:p>
    <w:p>
      <w:pPr>
        <w:pStyle w:val="ListParagraph"/>
        <w:numPr>
          <w:ilvl w:val="0"/>
          <w:numId w:val="2"/>
        </w:numPr>
        <w:spacing w:after="80"/>
      </w:pPr>
      <w:r>
        <w:rPr>
          <w:rFonts w:ascii="Calibri" w:cs="Calibri" w:eastAsia="Calibri" w:hAnsi="Calibri"/>
          <w:color w:val="222222"/>
          <w:sz w:val="22"/>
          <w:szCs w:val="22"/>
        </w:rPr>
        <w:t xml:space="preserve">Openings/closings booked vs. last year, and how early</w:t>
      </w:r>
    </w:p>
    <w:p>
      <w:pPr>
        <w:pStyle w:val="ListParagraph"/>
        <w:numPr>
          <w:ilvl w:val="0"/>
          <w:numId w:val="2"/>
        </w:numPr>
        <w:spacing w:after="80"/>
      </w:pPr>
      <w:r>
        <w:rPr>
          <w:rFonts w:ascii="Calibri" w:cs="Calibri" w:eastAsia="Calibri" w:hAnsi="Calibri"/>
          <w:color w:val="222222"/>
          <w:sz w:val="22"/>
          <w:szCs w:val="22"/>
        </w:rPr>
        <w:t xml:space="preserve">Season revenue per segment vs. prior year</w:t>
      </w:r>
    </w:p>
    <w:p>
      <w:pPr>
        <w:spacing w:after="200"/>
      </w:pPr>
      <w:r>
        <w:rPr>
          <w:rFonts w:ascii="Calibri" w:cs="Calibri" w:eastAsia="Calibri" w:hAnsi="Calibri"/>
          <w:b/>
          <w:bCs/>
          <w:color w:val="21295C"/>
          <w:sz w:val="22"/>
          <w:szCs w:val="22"/>
        </w:rPr>
        <w:t xml:space="preserve">Why it pays. </w:t>
      </w:r>
      <w:r>
        <w:rPr>
          <w:rFonts w:ascii="Calibri" w:cs="Calibri" w:eastAsia="Calibri" w:hAnsi="Calibri"/>
          <w:i/>
          <w:iCs/>
          <w:color w:val="222222"/>
          <w:sz w:val="22"/>
          <w:szCs w:val="22"/>
        </w:rPr>
        <w:t xml:space="preserve">Booking openings and closings two to four weeks earlier converts idle shoulder-season capacity into revenue and reduces the overtime crunch at the peak.</w:t>
      </w:r>
    </w:p>
    <w:p>
      <w:pPr>
        <w:pStyle w:val="Heading2"/>
        <w:spacing w:after="60" w:before="280"/>
      </w:pPr>
      <w:r>
        <w:rPr>
          <w:rFonts w:ascii="Cambria" w:cs="Cambria" w:eastAsia="Cambria" w:hAnsi="Cambria"/>
          <w:b/>
          <w:bCs/>
          <w:color w:val="065A82"/>
          <w:sz w:val="26"/>
          <w:szCs w:val="26"/>
        </w:rPr>
        <w:t xml:space="preserve">Campaign 7: Welcome Back</w:t>
      </w:r>
    </w:p>
    <w:p>
      <w:pPr>
        <w:spacing w:after="100"/>
      </w:pPr>
      <w:r>
        <w:rPr>
          <w:rFonts w:ascii="Calibri" w:cs="Calibri" w:eastAsia="Calibri" w:hAnsi="Calibri"/>
          <w:b/>
          <w:bCs/>
          <w:color w:val="1C7293"/>
          <w:sz w:val="20"/>
          <w:szCs w:val="20"/>
        </w:rPr>
        <w:t xml:space="preserve">Recover &amp; Upgrade</w:t>
      </w:r>
      <w:r>
        <w:rPr>
          <w:rFonts w:ascii="Calibri" w:cs="Calibri" w:eastAsia="Calibri" w:hAnsi="Calibri"/>
          <w:i/>
          <w:iCs/>
          <w:color w:val="5A6B76"/>
          <w:sz w:val="20"/>
          <w:szCs w:val="20"/>
        </w:rPr>
        <w:t xml:space="preserve">   •   Available at launch</w:t>
      </w:r>
    </w:p>
    <w:p>
      <w:pPr>
        <w:spacing w:after="120"/>
      </w:pPr>
      <w:r>
        <w:rPr>
          <w:rFonts w:ascii="Calibri" w:cs="Calibri" w:eastAsia="Calibri" w:hAnsi="Calibri"/>
          <w:b/>
          <w:bCs/>
          <w:color w:val="222222"/>
          <w:sz w:val="22"/>
          <w:szCs w:val="22"/>
        </w:rPr>
        <w:t xml:space="preserve">Objective. </w:t>
      </w:r>
      <w:r>
        <w:rPr>
          <w:rFonts w:ascii="Calibri" w:cs="Calibri" w:eastAsia="Calibri" w:hAnsi="Calibri"/>
          <w:color w:val="222222"/>
          <w:sz w:val="22"/>
          <w:szCs w:val="22"/>
        </w:rPr>
        <w:t xml:space="preserve">Reactivate dormant customers before they quietly defect to a competitor.</w:t>
      </w:r>
    </w:p>
    <w:p>
      <w:pPr>
        <w:spacing w:after="120"/>
      </w:pPr>
      <w:r>
        <w:rPr>
          <w:rFonts w:ascii="Calibri" w:cs="Calibri" w:eastAsia="Calibri" w:hAnsi="Calibri"/>
          <w:b/>
          <w:bCs/>
          <w:color w:val="222222"/>
          <w:sz w:val="22"/>
          <w:szCs w:val="22"/>
        </w:rPr>
        <w:t xml:space="preserve">LOU trigger. </w:t>
      </w:r>
      <w:r>
        <w:rPr>
          <w:rFonts w:ascii="Calibri" w:cs="Calibri" w:eastAsia="Calibri" w:hAnsi="Calibri"/>
          <w:color w:val="222222"/>
          <w:sz w:val="22"/>
          <w:szCs w:val="22"/>
        </w:rPr>
        <w:t xml:space="preserve">No completed order in 12–18 months (computed from synced order history).</w:t>
      </w:r>
    </w:p>
    <w:p>
      <w:pPr>
        <w:spacing w:after="120"/>
      </w:pPr>
      <w:r>
        <w:rPr>
          <w:rFonts w:ascii="Calibri" w:cs="Calibri" w:eastAsia="Calibri" w:hAnsi="Calibri"/>
          <w:b/>
          <w:bCs/>
          <w:color w:val="222222"/>
          <w:sz w:val="22"/>
          <w:szCs w:val="22"/>
        </w:rPr>
        <w:t xml:space="preserve">Audience. </w:t>
      </w:r>
      <w:r>
        <w:rPr>
          <w:rFonts w:ascii="Calibri" w:cs="Calibri" w:eastAsia="Calibri" w:hAnsi="Calibri"/>
          <w:color w:val="222222"/>
          <w:sz w:val="22"/>
          <w:szCs w:val="22"/>
        </w:rPr>
        <w:t xml:space="preserve">Lapsed customers, excluding open quotes and recent service.</w:t>
      </w:r>
    </w:p>
    <w:p>
      <w:pPr>
        <w:spacing w:after="60"/>
      </w:pPr>
      <w:r>
        <w:rPr>
          <w:rFonts w:ascii="Calibri" w:cs="Calibri" w:eastAsia="Calibri" w:hAnsi="Calibri"/>
          <w:b/>
          <w:bCs/>
          <w:color w:val="222222"/>
          <w:sz w:val="22"/>
          <w:szCs w:val="22"/>
        </w:rPr>
        <w:t xml:space="preserve">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500"/>
        <w:gridCol w:w="5960"/>
      </w:tblGrid>
      <w:tr>
        <w:trPr>
          <w:tblHeader/>
        </w:trPr>
        <w:tc>
          <w:tcPr>
            <w:tcW w:type="dxa" w:w="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t>
            </w:r>
          </w:p>
        </w:tc>
        <w:tc>
          <w:tcPr>
            <w:tcW w:type="dxa" w:w="14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Timing</w:t>
            </w:r>
          </w:p>
        </w:tc>
        <w:tc>
          <w:tcPr>
            <w:tcW w:type="dxa" w:w="1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Channel</w:t>
            </w:r>
          </w:p>
        </w:tc>
        <w:tc>
          <w:tcPr>
            <w:tcW w:type="dxa" w:w="59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Message</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0</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“We miss you” + free water test invitation</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7</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SMS</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Comeback offer with a simple booking link</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21</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“Did we do something wrong?” one-question feedback ask</w:t>
            </w:r>
          </w:p>
        </w:tc>
      </w:tr>
    </w:tbl>
    <w:p>
      <w:pPr>
        <w:spacing w:after="120"/>
      </w:pPr>
    </w:p>
    <w:p>
      <w:pPr>
        <w:spacing w:after="60"/>
      </w:pPr>
      <w:r>
        <w:rPr>
          <w:rFonts w:ascii="Calibri" w:cs="Calibri" w:eastAsia="Calibri" w:hAnsi="Calibri"/>
          <w:b/>
          <w:bCs/>
          <w:color w:val="222222"/>
          <w:sz w:val="22"/>
          <w:szCs w:val="22"/>
        </w:rPr>
        <w:t xml:space="preserve">Offer ideas</w:t>
      </w:r>
    </w:p>
    <w:p>
      <w:pPr>
        <w:pStyle w:val="ListParagraph"/>
        <w:numPr>
          <w:ilvl w:val="0"/>
          <w:numId w:val="2"/>
        </w:numPr>
        <w:spacing w:after="80"/>
      </w:pPr>
      <w:r>
        <w:rPr>
          <w:rFonts w:ascii="Calibri" w:cs="Calibri" w:eastAsia="Calibri" w:hAnsi="Calibri"/>
          <w:color w:val="222222"/>
          <w:sz w:val="22"/>
          <w:szCs w:val="22"/>
        </w:rPr>
        <w:t xml:space="preserve">Comeback discount on service or chemicals</w:t>
      </w:r>
    </w:p>
    <w:p>
      <w:pPr>
        <w:pStyle w:val="ListParagraph"/>
        <w:numPr>
          <w:ilvl w:val="0"/>
          <w:numId w:val="2"/>
        </w:numPr>
        <w:spacing w:after="80"/>
      </w:pPr>
      <w:r>
        <w:rPr>
          <w:rFonts w:ascii="Calibri" w:cs="Calibri" w:eastAsia="Calibri" w:hAnsi="Calibri"/>
          <w:color w:val="222222"/>
          <w:sz w:val="22"/>
          <w:szCs w:val="22"/>
        </w:rPr>
        <w:t xml:space="preserve">Free water test / equipment health check</w:t>
      </w:r>
    </w:p>
    <w:p>
      <w:pPr>
        <w:spacing w:after="60"/>
      </w:pPr>
      <w:r>
        <w:rPr>
          <w:rFonts w:ascii="Calibri" w:cs="Calibri" w:eastAsia="Calibri" w:hAnsi="Calibri"/>
          <w:b/>
          <w:bCs/>
          <w:color w:val="222222"/>
          <w:sz w:val="22"/>
          <w:szCs w:val="22"/>
        </w:rPr>
        <w:t xml:space="preserve">KPIs</w:t>
      </w:r>
    </w:p>
    <w:p>
      <w:pPr>
        <w:pStyle w:val="ListParagraph"/>
        <w:numPr>
          <w:ilvl w:val="0"/>
          <w:numId w:val="2"/>
        </w:numPr>
        <w:spacing w:after="80"/>
      </w:pPr>
      <w:r>
        <w:rPr>
          <w:rFonts w:ascii="Calibri" w:cs="Calibri" w:eastAsia="Calibri" w:hAnsi="Calibri"/>
          <w:color w:val="222222"/>
          <w:sz w:val="22"/>
          <w:szCs w:val="22"/>
        </w:rPr>
        <w:t xml:space="preserve">Reactivation rate (target 3–5% of the dormant file)</w:t>
      </w:r>
    </w:p>
    <w:p>
      <w:pPr>
        <w:pStyle w:val="ListParagraph"/>
        <w:numPr>
          <w:ilvl w:val="0"/>
          <w:numId w:val="2"/>
        </w:numPr>
        <w:spacing w:after="80"/>
      </w:pPr>
      <w:r>
        <w:rPr>
          <w:rFonts w:ascii="Calibri" w:cs="Calibri" w:eastAsia="Calibri" w:hAnsi="Calibri"/>
          <w:color w:val="222222"/>
          <w:sz w:val="22"/>
          <w:szCs w:val="22"/>
        </w:rPr>
        <w:t xml:space="preserve">Win-back revenue per campaign run</w:t>
      </w:r>
    </w:p>
    <w:p>
      <w:pPr>
        <w:spacing w:after="200"/>
      </w:pPr>
      <w:r>
        <w:rPr>
          <w:rFonts w:ascii="Calibri" w:cs="Calibri" w:eastAsia="Calibri" w:hAnsi="Calibri"/>
          <w:b/>
          <w:bCs/>
          <w:color w:val="21295C"/>
          <w:sz w:val="22"/>
          <w:szCs w:val="22"/>
        </w:rPr>
        <w:t xml:space="preserve">Why it pays. </w:t>
      </w:r>
      <w:r>
        <w:rPr>
          <w:rFonts w:ascii="Calibri" w:cs="Calibri" w:eastAsia="Calibri" w:hAnsi="Calibri"/>
          <w:i/>
          <w:iCs/>
          <w:color w:val="222222"/>
          <w:sz w:val="22"/>
          <w:szCs w:val="22"/>
        </w:rPr>
        <w:t xml:space="preserve">A dealer with 2,000 dormant contacts reactivating 4% at a $250 average order recovers ~$20,000 — from customers already acquired and paid for.</w:t>
      </w:r>
    </w:p>
    <w:p>
      <w:pPr>
        <w:pStyle w:val="Heading2"/>
        <w:spacing w:after="60" w:before="280"/>
      </w:pPr>
      <w:r>
        <w:rPr>
          <w:rFonts w:ascii="Cambria" w:cs="Cambria" w:eastAsia="Cambria" w:hAnsi="Cambria"/>
          <w:b/>
          <w:bCs/>
          <w:color w:val="065A82"/>
          <w:sz w:val="26"/>
          <w:szCs w:val="26"/>
        </w:rPr>
        <w:t xml:space="preserve">Campaign 8: Upgrade Path</w:t>
      </w:r>
    </w:p>
    <w:p>
      <w:pPr>
        <w:spacing w:after="100"/>
      </w:pPr>
      <w:r>
        <w:rPr>
          <w:rFonts w:ascii="Calibri" w:cs="Calibri" w:eastAsia="Calibri" w:hAnsi="Calibri"/>
          <w:b/>
          <w:bCs/>
          <w:color w:val="1C7293"/>
          <w:sz w:val="20"/>
          <w:szCs w:val="20"/>
        </w:rPr>
        <w:t xml:space="preserve">Recover &amp; Upgrade</w:t>
      </w:r>
      <w:r>
        <w:rPr>
          <w:rFonts w:ascii="Calibri" w:cs="Calibri" w:eastAsia="Calibri" w:hAnsi="Calibri"/>
          <w:i/>
          <w:iCs/>
          <w:color w:val="5A6B76"/>
          <w:sz w:val="20"/>
          <w:szCs w:val="20"/>
        </w:rPr>
        <w:t xml:space="preserve">   •   Available at launch</w:t>
      </w:r>
    </w:p>
    <w:p>
      <w:pPr>
        <w:spacing w:after="120"/>
      </w:pPr>
      <w:r>
        <w:rPr>
          <w:rFonts w:ascii="Calibri" w:cs="Calibri" w:eastAsia="Calibri" w:hAnsi="Calibri"/>
          <w:b/>
          <w:bCs/>
          <w:color w:val="222222"/>
          <w:sz w:val="22"/>
          <w:szCs w:val="22"/>
        </w:rPr>
        <w:t xml:space="preserve">Objective. </w:t>
      </w:r>
      <w:r>
        <w:rPr>
          <w:rFonts w:ascii="Calibri" w:cs="Calibri" w:eastAsia="Calibri" w:hAnsi="Calibri"/>
          <w:color w:val="222222"/>
          <w:sz w:val="22"/>
          <w:szCs w:val="22"/>
        </w:rPr>
        <w:t xml:space="preserve">Move service-only relationships into the showroom by turning repair patterns into replacement conversations.</w:t>
      </w:r>
    </w:p>
    <w:p>
      <w:pPr>
        <w:spacing w:after="120"/>
      </w:pPr>
      <w:r>
        <w:rPr>
          <w:rFonts w:ascii="Calibri" w:cs="Calibri" w:eastAsia="Calibri" w:hAnsi="Calibri"/>
          <w:b/>
          <w:bCs/>
          <w:color w:val="222222"/>
          <w:sz w:val="22"/>
          <w:szCs w:val="22"/>
        </w:rPr>
        <w:t xml:space="preserve">LOU trigger. </w:t>
      </w:r>
      <w:r>
        <w:rPr>
          <w:rFonts w:ascii="Calibri" w:cs="Calibri" w:eastAsia="Calibri" w:hAnsi="Calibri"/>
          <w:color w:val="222222"/>
          <w:sz w:val="22"/>
          <w:szCs w:val="22"/>
        </w:rPr>
        <w:t xml:space="preserve">Customers with Work orders but no Sale orders, or repeated repairs against the same equipment.</w:t>
      </w:r>
    </w:p>
    <w:p>
      <w:pPr>
        <w:spacing w:after="120"/>
      </w:pPr>
      <w:r>
        <w:rPr>
          <w:rFonts w:ascii="Calibri" w:cs="Calibri" w:eastAsia="Calibri" w:hAnsi="Calibri"/>
          <w:b/>
          <w:bCs/>
          <w:color w:val="222222"/>
          <w:sz w:val="22"/>
          <w:szCs w:val="22"/>
        </w:rPr>
        <w:t xml:space="preserve">Audience. </w:t>
      </w:r>
      <w:r>
        <w:rPr>
          <w:rFonts w:ascii="Calibri" w:cs="Calibri" w:eastAsia="Calibri" w:hAnsi="Calibri"/>
          <w:color w:val="222222"/>
          <w:sz w:val="22"/>
          <w:szCs w:val="22"/>
        </w:rPr>
        <w:t xml:space="preserve">Service-only customers and repeat-repair customers.</w:t>
      </w:r>
    </w:p>
    <w:p>
      <w:pPr>
        <w:spacing w:after="60"/>
      </w:pPr>
      <w:r>
        <w:rPr>
          <w:rFonts w:ascii="Calibri" w:cs="Calibri" w:eastAsia="Calibri" w:hAnsi="Calibri"/>
          <w:b/>
          <w:bCs/>
          <w:color w:val="222222"/>
          <w:sz w:val="22"/>
          <w:szCs w:val="22"/>
        </w:rPr>
        <w:t xml:space="preserve">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500"/>
        <w:gridCol w:w="5960"/>
      </w:tblGrid>
      <w:tr>
        <w:trPr>
          <w:tblHeader/>
        </w:trPr>
        <w:tc>
          <w:tcPr>
            <w:tcW w:type="dxa" w:w="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t>
            </w:r>
          </w:p>
        </w:tc>
        <w:tc>
          <w:tcPr>
            <w:tcW w:type="dxa" w:w="14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Timing</w:t>
            </w:r>
          </w:p>
        </w:tc>
        <w:tc>
          <w:tcPr>
            <w:tcW w:type="dxa" w:w="1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Channel</w:t>
            </w:r>
          </w:p>
        </w:tc>
        <w:tc>
          <w:tcPr>
            <w:tcW w:type="dxa" w:w="59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Message</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After 2nd repair</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Repair-vs-replace math for their equipment class</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Day 10</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Energy-efficiency story: variable-speed pumps, heat pumps, smart automation</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Seasonal</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 + SMS</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Trade-in / upgrade event invitation</w:t>
            </w:r>
          </w:p>
        </w:tc>
      </w:tr>
    </w:tbl>
    <w:p>
      <w:pPr>
        <w:spacing w:after="120"/>
      </w:pPr>
    </w:p>
    <w:p>
      <w:pPr>
        <w:spacing w:after="60"/>
      </w:pPr>
      <w:r>
        <w:rPr>
          <w:rFonts w:ascii="Calibri" w:cs="Calibri" w:eastAsia="Calibri" w:hAnsi="Calibri"/>
          <w:b/>
          <w:bCs/>
          <w:color w:val="222222"/>
          <w:sz w:val="22"/>
          <w:szCs w:val="22"/>
        </w:rPr>
        <w:t xml:space="preserve">Offer ideas</w:t>
      </w:r>
    </w:p>
    <w:p>
      <w:pPr>
        <w:pStyle w:val="ListParagraph"/>
        <w:numPr>
          <w:ilvl w:val="0"/>
          <w:numId w:val="2"/>
        </w:numPr>
        <w:spacing w:after="80"/>
      </w:pPr>
      <w:r>
        <w:rPr>
          <w:rFonts w:ascii="Calibri" w:cs="Calibri" w:eastAsia="Calibri" w:hAnsi="Calibri"/>
          <w:color w:val="222222"/>
          <w:sz w:val="22"/>
          <w:szCs w:val="22"/>
        </w:rPr>
        <w:t xml:space="preserve">Trade-in credit toward replacement equipment</w:t>
      </w:r>
    </w:p>
    <w:p>
      <w:pPr>
        <w:pStyle w:val="ListParagraph"/>
        <w:numPr>
          <w:ilvl w:val="0"/>
          <w:numId w:val="2"/>
        </w:numPr>
        <w:spacing w:after="80"/>
      </w:pPr>
      <w:r>
        <w:rPr>
          <w:rFonts w:ascii="Calibri" w:cs="Calibri" w:eastAsia="Calibri" w:hAnsi="Calibri"/>
          <w:color w:val="222222"/>
          <w:sz w:val="22"/>
          <w:szCs w:val="22"/>
        </w:rPr>
        <w:t xml:space="preserve">Applying a recent repair charge toward an upgrade</w:t>
      </w:r>
    </w:p>
    <w:p>
      <w:pPr>
        <w:spacing w:after="60"/>
      </w:pPr>
      <w:r>
        <w:rPr>
          <w:rFonts w:ascii="Calibri" w:cs="Calibri" w:eastAsia="Calibri" w:hAnsi="Calibri"/>
          <w:b/>
          <w:bCs/>
          <w:color w:val="222222"/>
          <w:sz w:val="22"/>
          <w:szCs w:val="22"/>
        </w:rPr>
        <w:t xml:space="preserve">KPIs</w:t>
      </w:r>
    </w:p>
    <w:p>
      <w:pPr>
        <w:pStyle w:val="ListParagraph"/>
        <w:numPr>
          <w:ilvl w:val="0"/>
          <w:numId w:val="2"/>
        </w:numPr>
        <w:spacing w:after="80"/>
      </w:pPr>
      <w:r>
        <w:rPr>
          <w:rFonts w:ascii="Calibri" w:cs="Calibri" w:eastAsia="Calibri" w:hAnsi="Calibri"/>
          <w:color w:val="222222"/>
          <w:sz w:val="22"/>
          <w:szCs w:val="22"/>
        </w:rPr>
        <w:t xml:space="preserve">Showroom appointments booked from service-only customers</w:t>
      </w:r>
    </w:p>
    <w:p>
      <w:pPr>
        <w:pStyle w:val="ListParagraph"/>
        <w:numPr>
          <w:ilvl w:val="0"/>
          <w:numId w:val="2"/>
        </w:numPr>
        <w:spacing w:after="80"/>
      </w:pPr>
      <w:r>
        <w:rPr>
          <w:rFonts w:ascii="Calibri" w:cs="Calibri" w:eastAsia="Calibri" w:hAnsi="Calibri"/>
          <w:color w:val="222222"/>
          <w:sz w:val="22"/>
          <w:szCs w:val="22"/>
        </w:rPr>
        <w:t xml:space="preserve">Retail conversion rate of the service-only segment</w:t>
      </w:r>
    </w:p>
    <w:p>
      <w:pPr>
        <w:spacing w:after="200"/>
      </w:pPr>
      <w:r>
        <w:rPr>
          <w:rFonts w:ascii="Calibri" w:cs="Calibri" w:eastAsia="Calibri" w:hAnsi="Calibri"/>
          <w:b/>
          <w:bCs/>
          <w:color w:val="21295C"/>
          <w:sz w:val="22"/>
          <w:szCs w:val="22"/>
        </w:rPr>
        <w:t xml:space="preserve">Why it pays. </w:t>
      </w:r>
      <w:r>
        <w:rPr>
          <w:rFonts w:ascii="Calibri" w:cs="Calibri" w:eastAsia="Calibri" w:hAnsi="Calibri"/>
          <w:i/>
          <w:iCs/>
          <w:color w:val="222222"/>
          <w:sz w:val="22"/>
          <w:szCs w:val="22"/>
        </w:rPr>
        <w:t xml:space="preserve">Service-only customers are pre-qualified retail buyers the dealer already has a trust relationship with — the highest-intent, lowest-cost showroom traffic available.</w:t>
      </w:r>
    </w:p>
    <w:p>
      <w:pPr>
        <w:pStyle w:val="Heading2"/>
        <w:spacing w:after="60" w:before="280"/>
      </w:pPr>
      <w:r>
        <w:rPr>
          <w:rFonts w:ascii="Cambria" w:cs="Cambria" w:eastAsia="Cambria" w:hAnsi="Cambria"/>
          <w:b/>
          <w:bCs/>
          <w:color w:val="065A82"/>
          <w:sz w:val="26"/>
          <w:szCs w:val="26"/>
        </w:rPr>
        <w:t xml:space="preserve">Campaign 9: Smart Replacement</w:t>
      </w:r>
    </w:p>
    <w:p>
      <w:pPr>
        <w:spacing w:after="100"/>
      </w:pPr>
      <w:r>
        <w:rPr>
          <w:rFonts w:ascii="Calibri" w:cs="Calibri" w:eastAsia="Calibri" w:hAnsi="Calibri"/>
          <w:b/>
          <w:bCs/>
          <w:color w:val="1C7293"/>
          <w:sz w:val="20"/>
          <w:szCs w:val="20"/>
        </w:rPr>
        <w:t xml:space="preserve">Recover &amp; Upgrade</w:t>
      </w:r>
      <w:r>
        <w:rPr>
          <w:rFonts w:ascii="Calibri" w:cs="Calibri" w:eastAsia="Calibri" w:hAnsi="Calibri"/>
          <w:i/>
          <w:iCs/>
          <w:color w:val="5A6B76"/>
          <w:sz w:val="20"/>
          <w:szCs w:val="20"/>
        </w:rPr>
        <w:t xml:space="preserve">   •   Roadmap trigger (install dates / equipment age)</w:t>
      </w:r>
    </w:p>
    <w:p>
      <w:pPr>
        <w:spacing w:after="120"/>
      </w:pPr>
      <w:r>
        <w:rPr>
          <w:rFonts w:ascii="Calibri" w:cs="Calibri" w:eastAsia="Calibri" w:hAnsi="Calibri"/>
          <w:b/>
          <w:bCs/>
          <w:color w:val="222222"/>
          <w:sz w:val="22"/>
          <w:szCs w:val="22"/>
        </w:rPr>
        <w:t xml:space="preserve">Objective. </w:t>
      </w:r>
      <w:r>
        <w:rPr>
          <w:rFonts w:ascii="Calibri" w:cs="Calibri" w:eastAsia="Calibri" w:hAnsi="Calibri"/>
          <w:color w:val="222222"/>
          <w:sz w:val="22"/>
          <w:szCs w:val="22"/>
        </w:rPr>
        <w:t xml:space="preserve">Sell planned replacements before equipment fails, converting emergency calls into scheduled, higher-margin projects.</w:t>
      </w:r>
    </w:p>
    <w:p>
      <w:pPr>
        <w:spacing w:after="120"/>
      </w:pPr>
      <w:r>
        <w:rPr>
          <w:rFonts w:ascii="Calibri" w:cs="Calibri" w:eastAsia="Calibri" w:hAnsi="Calibri"/>
          <w:b/>
          <w:bCs/>
          <w:color w:val="222222"/>
          <w:sz w:val="22"/>
          <w:szCs w:val="22"/>
        </w:rPr>
        <w:t xml:space="preserve">LOU trigger. </w:t>
      </w:r>
      <w:r>
        <w:rPr>
          <w:rFonts w:ascii="Calibri" w:cs="Calibri" w:eastAsia="Calibri" w:hAnsi="Calibri"/>
          <w:color w:val="222222"/>
          <w:sz w:val="22"/>
          <w:szCs w:val="22"/>
        </w:rPr>
        <w:t xml:space="preserve">Install/purchase date + equipment SKU age reaching 5–8 years. Requires install-date data as the sync history matures — a Phase 2/3 roadmap trigger.</w:t>
      </w:r>
    </w:p>
    <w:p>
      <w:pPr>
        <w:spacing w:after="120"/>
      </w:pPr>
      <w:r>
        <w:rPr>
          <w:rFonts w:ascii="Calibri" w:cs="Calibri" w:eastAsia="Calibri" w:hAnsi="Calibri"/>
          <w:b/>
          <w:bCs/>
          <w:color w:val="222222"/>
          <w:sz w:val="22"/>
          <w:szCs w:val="22"/>
        </w:rPr>
        <w:t xml:space="preserve">Audience. </w:t>
      </w:r>
      <w:r>
        <w:rPr>
          <w:rFonts w:ascii="Calibri" w:cs="Calibri" w:eastAsia="Calibri" w:hAnsi="Calibri"/>
          <w:color w:val="222222"/>
          <w:sz w:val="22"/>
          <w:szCs w:val="22"/>
        </w:rPr>
        <w:t xml:space="preserve">Owners of aging heaters, pumps, covers, and sanitization systems.</w:t>
      </w:r>
    </w:p>
    <w:p>
      <w:pPr>
        <w:spacing w:after="60"/>
      </w:pPr>
      <w:r>
        <w:rPr>
          <w:rFonts w:ascii="Calibri" w:cs="Calibri" w:eastAsia="Calibri" w:hAnsi="Calibri"/>
          <w:b/>
          <w:bCs/>
          <w:color w:val="222222"/>
          <w:sz w:val="22"/>
          <w:szCs w:val="22"/>
        </w:rPr>
        <w:t xml:space="preserve">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500"/>
        <w:gridCol w:w="5960"/>
      </w:tblGrid>
      <w:tr>
        <w:trPr>
          <w:tblHeader/>
        </w:trPr>
        <w:tc>
          <w:tcPr>
            <w:tcW w:type="dxa" w:w="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t>
            </w:r>
          </w:p>
        </w:tc>
        <w:tc>
          <w:tcPr>
            <w:tcW w:type="dxa" w:w="14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Timing</w:t>
            </w:r>
          </w:p>
        </w:tc>
        <w:tc>
          <w:tcPr>
            <w:tcW w:type="dxa" w:w="15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Channel</w:t>
            </w:r>
          </w:p>
        </w:tc>
        <w:tc>
          <w:tcPr>
            <w:tcW w:type="dxa" w:w="59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Message</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Age threshold</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“Your heater is entering its typical replacement window” + pre-season inspection offer</w:t>
            </w:r>
          </w:p>
        </w:tc>
      </w:tr>
      <w:tr>
        <w:tc>
          <w:tcPr>
            <w:tcW w:type="dxa" w:w="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w:t>
            </w:r>
          </w:p>
        </w:tc>
        <w:tc>
          <w:tcPr>
            <w:tcW w:type="dxa" w:w="14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Pre-season</w:t>
            </w:r>
          </w:p>
        </w:tc>
        <w:tc>
          <w:tcPr>
            <w:tcW w:type="dxa" w:w="15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Replace-now-vs-fail-in-July framing with current lead times</w:t>
            </w:r>
          </w:p>
        </w:tc>
      </w:tr>
      <w:tr>
        <w:tc>
          <w:tcPr>
            <w:tcW w:type="dxa" w:w="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w:t>
            </w:r>
          </w:p>
        </w:tc>
        <w:tc>
          <w:tcPr>
            <w:tcW w:type="dxa" w:w="14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Warranty expiry</w:t>
            </w:r>
          </w:p>
        </w:tc>
        <w:tc>
          <w:tcPr>
            <w:tcW w:type="dxa" w:w="15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Email</w:t>
            </w:r>
          </w:p>
        </w:tc>
        <w:tc>
          <w:tcPr>
            <w:tcW w:type="dxa" w:w="59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Warranty-window touchpoint where applicable</w:t>
            </w:r>
          </w:p>
        </w:tc>
      </w:tr>
    </w:tbl>
    <w:p>
      <w:pPr>
        <w:spacing w:after="120"/>
      </w:pPr>
    </w:p>
    <w:p>
      <w:pPr>
        <w:spacing w:after="60"/>
      </w:pPr>
      <w:r>
        <w:rPr>
          <w:rFonts w:ascii="Calibri" w:cs="Calibri" w:eastAsia="Calibri" w:hAnsi="Calibri"/>
          <w:b/>
          <w:bCs/>
          <w:color w:val="222222"/>
          <w:sz w:val="22"/>
          <w:szCs w:val="22"/>
        </w:rPr>
        <w:t xml:space="preserve">Offer ideas</w:t>
      </w:r>
    </w:p>
    <w:p>
      <w:pPr>
        <w:pStyle w:val="ListParagraph"/>
        <w:numPr>
          <w:ilvl w:val="0"/>
          <w:numId w:val="2"/>
        </w:numPr>
        <w:spacing w:after="80"/>
      </w:pPr>
      <w:r>
        <w:rPr>
          <w:rFonts w:ascii="Calibri" w:cs="Calibri" w:eastAsia="Calibri" w:hAnsi="Calibri"/>
          <w:color w:val="222222"/>
          <w:sz w:val="22"/>
          <w:szCs w:val="22"/>
        </w:rPr>
        <w:t xml:space="preserve">Pre-season inspection discount</w:t>
      </w:r>
    </w:p>
    <w:p>
      <w:pPr>
        <w:pStyle w:val="ListParagraph"/>
        <w:numPr>
          <w:ilvl w:val="0"/>
          <w:numId w:val="2"/>
        </w:numPr>
        <w:spacing w:after="80"/>
      </w:pPr>
      <w:r>
        <w:rPr>
          <w:rFonts w:ascii="Calibri" w:cs="Calibri" w:eastAsia="Calibri" w:hAnsi="Calibri"/>
          <w:color w:val="222222"/>
          <w:sz w:val="22"/>
          <w:szCs w:val="22"/>
        </w:rPr>
        <w:t xml:space="preserve">Loyalty pricing for customers with service history</w:t>
      </w:r>
    </w:p>
    <w:p>
      <w:pPr>
        <w:spacing w:after="60"/>
      </w:pPr>
      <w:r>
        <w:rPr>
          <w:rFonts w:ascii="Calibri" w:cs="Calibri" w:eastAsia="Calibri" w:hAnsi="Calibri"/>
          <w:b/>
          <w:bCs/>
          <w:color w:val="222222"/>
          <w:sz w:val="22"/>
          <w:szCs w:val="22"/>
        </w:rPr>
        <w:t xml:space="preserve">KPIs</w:t>
      </w:r>
    </w:p>
    <w:p>
      <w:pPr>
        <w:pStyle w:val="ListParagraph"/>
        <w:numPr>
          <w:ilvl w:val="0"/>
          <w:numId w:val="2"/>
        </w:numPr>
        <w:spacing w:after="80"/>
      </w:pPr>
      <w:r>
        <w:rPr>
          <w:rFonts w:ascii="Calibri" w:cs="Calibri" w:eastAsia="Calibri" w:hAnsi="Calibri"/>
          <w:color w:val="222222"/>
          <w:sz w:val="22"/>
          <w:szCs w:val="22"/>
        </w:rPr>
        <w:t xml:space="preserve">Planned-replacement revenue</w:t>
      </w:r>
    </w:p>
    <w:p>
      <w:pPr>
        <w:pStyle w:val="ListParagraph"/>
        <w:numPr>
          <w:ilvl w:val="0"/>
          <w:numId w:val="2"/>
        </w:numPr>
        <w:spacing w:after="80"/>
      </w:pPr>
      <w:r>
        <w:rPr>
          <w:rFonts w:ascii="Calibri" w:cs="Calibri" w:eastAsia="Calibri" w:hAnsi="Calibri"/>
          <w:color w:val="222222"/>
          <w:sz w:val="22"/>
          <w:szCs w:val="22"/>
        </w:rPr>
        <w:t xml:space="preserve">Reduction in emergency service calls among enrolled customers</w:t>
      </w:r>
    </w:p>
    <w:p>
      <w:pPr>
        <w:spacing w:after="200"/>
      </w:pPr>
      <w:r>
        <w:rPr>
          <w:rFonts w:ascii="Calibri" w:cs="Calibri" w:eastAsia="Calibri" w:hAnsi="Calibri"/>
          <w:b/>
          <w:bCs/>
          <w:color w:val="21295C"/>
          <w:sz w:val="22"/>
          <w:szCs w:val="22"/>
        </w:rPr>
        <w:t xml:space="preserve">Why it pays. </w:t>
      </w:r>
      <w:r>
        <w:rPr>
          <w:rFonts w:ascii="Calibri" w:cs="Calibri" w:eastAsia="Calibri" w:hAnsi="Calibri"/>
          <w:i/>
          <w:iCs/>
          <w:color w:val="222222"/>
          <w:sz w:val="22"/>
          <w:szCs w:val="22"/>
        </w:rPr>
        <w:t xml:space="preserve">Planned replacements carry better margins, better scheduling, and better customer experience than failure-driven emergencies — and they showcase LOU’s data depth as the program matures.</w:t>
      </w:r>
    </w:p>
    <w:p>
      <w:pPr>
        <w:pStyle w:val="Heading1"/>
        <w:spacing w:after="160" w:before="320"/>
      </w:pPr>
      <w:r>
        <w:rPr>
          <w:rFonts w:ascii="Cambria" w:cs="Cambria" w:eastAsia="Cambria" w:hAnsi="Cambria"/>
          <w:b/>
          <w:bCs/>
          <w:color w:val="21295C"/>
          <w:sz w:val="32"/>
          <w:szCs w:val="32"/>
        </w:rPr>
        <w:t xml:space="preserve">7. Channel Strategy</w:t>
      </w:r>
    </w:p>
    <w:p>
      <w:pPr>
        <w:pStyle w:val="ListParagraph"/>
        <w:numPr>
          <w:ilvl w:val="0"/>
          <w:numId w:val="2"/>
        </w:numPr>
        <w:spacing w:after="80"/>
      </w:pPr>
      <w:r>
        <w:rPr>
          <w:rFonts w:ascii="Calibri" w:cs="Calibri" w:eastAsia="Calibri" w:hAnsi="Calibri"/>
          <w:b/>
          <w:bCs/>
          <w:color w:val="222222"/>
          <w:sz w:val="22"/>
          <w:szCs w:val="22"/>
        </w:rPr>
        <w:t xml:space="preserve">Email </w:t>
      </w:r>
      <w:r>
        <w:rPr>
          <w:rFonts w:ascii="Calibri" w:cs="Calibri" w:eastAsia="Calibri" w:hAnsi="Calibri"/>
          <w:color w:val="222222"/>
          <w:sz w:val="22"/>
          <w:szCs w:val="22"/>
        </w:rPr>
        <w:t xml:space="preserve">is the workhorse: education, offers, seasonal pushes, and reporting-friendly tracking. Fully dealer-branded templates built once at onboarding.</w:t>
      </w:r>
    </w:p>
    <w:p>
      <w:pPr>
        <w:pStyle w:val="ListParagraph"/>
        <w:numPr>
          <w:ilvl w:val="0"/>
          <w:numId w:val="2"/>
        </w:numPr>
        <w:spacing w:after="80"/>
      </w:pPr>
      <w:r>
        <w:rPr>
          <w:rFonts w:ascii="Calibri" w:cs="Calibri" w:eastAsia="Calibri" w:hAnsi="Calibri"/>
          <w:b/>
          <w:bCs/>
          <w:color w:val="222222"/>
          <w:sz w:val="22"/>
          <w:szCs w:val="22"/>
        </w:rPr>
        <w:t xml:space="preserve">SMS </w:t>
      </w:r>
      <w:r>
        <w:rPr>
          <w:rFonts w:ascii="Calibri" w:cs="Calibri" w:eastAsia="Calibri" w:hAnsi="Calibri"/>
          <w:color w:val="222222"/>
          <w:sz w:val="22"/>
          <w:szCs w:val="22"/>
        </w:rPr>
        <w:t xml:space="preserve">is reserved for high-value, time-sensitive touches — satisfaction checks, booking nudges, expiring offers — under strict consent and quiet-hours rules (Section 10).</w:t>
      </w:r>
    </w:p>
    <w:p>
      <w:pPr>
        <w:pStyle w:val="ListParagraph"/>
        <w:numPr>
          <w:ilvl w:val="0"/>
          <w:numId w:val="2"/>
        </w:numPr>
        <w:spacing w:after="80"/>
      </w:pPr>
      <w:r>
        <w:rPr>
          <w:rFonts w:ascii="Calibri" w:cs="Calibri" w:eastAsia="Calibri" w:hAnsi="Calibri"/>
          <w:b/>
          <w:bCs/>
          <w:color w:val="222222"/>
          <w:sz w:val="22"/>
          <w:szCs w:val="22"/>
        </w:rPr>
        <w:t xml:space="preserve">Retargeting audiences. </w:t>
      </w:r>
      <w:r>
        <w:rPr>
          <w:rFonts w:ascii="Calibri" w:cs="Calibri" w:eastAsia="Calibri" w:hAnsi="Calibri"/>
          <w:color w:val="222222"/>
          <w:sz w:val="22"/>
          <w:szCs w:val="22"/>
        </w:rPr>
        <w:t xml:space="preserve">Campaign segments sync to Google and Meta as custom audiences, so paid spend concentrates on high-intent, known customers (e.g., open quotes, upgrade candidates).</w:t>
      </w:r>
    </w:p>
    <w:p>
      <w:pPr>
        <w:pStyle w:val="ListParagraph"/>
        <w:numPr>
          <w:ilvl w:val="0"/>
          <w:numId w:val="2"/>
        </w:numPr>
        <w:spacing w:after="80"/>
      </w:pPr>
      <w:r>
        <w:rPr>
          <w:rFonts w:ascii="Calibri" w:cs="Calibri" w:eastAsia="Calibri" w:hAnsi="Calibri"/>
          <w:b/>
          <w:bCs/>
          <w:color w:val="222222"/>
          <w:sz w:val="22"/>
          <w:szCs w:val="22"/>
        </w:rPr>
        <w:t xml:space="preserve">Direct mail (optional add-on). </w:t>
      </w:r>
      <w:r>
        <w:rPr>
          <w:rFonts w:ascii="Calibri" w:cs="Calibri" w:eastAsia="Calibri" w:hAnsi="Calibri"/>
          <w:color w:val="222222"/>
          <w:sz w:val="22"/>
          <w:szCs w:val="22"/>
        </w:rPr>
        <w:t xml:space="preserve">Postcards for the dormant segment and seasonal bookings, where a physical touch outperforms a full inbox.</w:t>
      </w:r>
    </w:p>
    <w:p>
      <w:pPr>
        <w:pStyle w:val="Heading1"/>
        <w:spacing w:after="160" w:before="320"/>
      </w:pPr>
      <w:r>
        <w:rPr>
          <w:rFonts w:ascii="Cambria" w:cs="Cambria" w:eastAsia="Cambria" w:hAnsi="Cambria"/>
          <w:b/>
          <w:bCs/>
          <w:color w:val="21295C"/>
          <w:sz w:val="32"/>
          <w:szCs w:val="32"/>
        </w:rPr>
        <w:t xml:space="preserve">8. Measurement &amp; Closed-Loop Attribution</w:t>
      </w:r>
    </w:p>
    <w:p>
      <w:pPr>
        <w:spacing w:after="120"/>
      </w:pPr>
      <w:r>
        <w:rPr>
          <w:rFonts w:ascii="Calibri" w:cs="Calibri" w:eastAsia="Calibri" w:hAnsi="Calibri"/>
          <w:color w:val="222222"/>
          <w:sz w:val="22"/>
          <w:szCs w:val="22"/>
        </w:rPr>
        <w:t xml:space="preserve">The program’s signature promise: every dealer sees exactly what the marketing produced, in dollars, from their own system of record.</w:t>
      </w:r>
    </w:p>
    <w:p>
      <w:pPr>
        <w:pStyle w:val="ListParagraph"/>
        <w:numPr>
          <w:ilvl w:val="0"/>
          <w:numId w:val="2"/>
        </w:numPr>
        <w:spacing w:after="80"/>
      </w:pPr>
      <w:r>
        <w:rPr>
          <w:rFonts w:ascii="Calibri" w:cs="Calibri" w:eastAsia="Calibri" w:hAnsi="Calibri"/>
          <w:color w:val="222222"/>
          <w:sz w:val="22"/>
          <w:szCs w:val="22"/>
        </w:rPr>
        <w:t xml:space="preserve">Campaign touches (sends, opens, clicks, coupon codes, booking links) are recorded per customer in MyLeadHub.</w:t>
      </w:r>
    </w:p>
    <w:p>
      <w:pPr>
        <w:pStyle w:val="ListParagraph"/>
        <w:numPr>
          <w:ilvl w:val="0"/>
          <w:numId w:val="2"/>
        </w:numPr>
        <w:spacing w:after="80"/>
      </w:pPr>
      <w:r>
        <w:rPr>
          <w:rFonts w:ascii="Calibri" w:cs="Calibri" w:eastAsia="Calibri" w:hAnsi="Calibri"/>
          <w:color w:val="222222"/>
          <w:sz w:val="22"/>
          <w:szCs w:val="22"/>
        </w:rPr>
        <w:t xml:space="preserve">The nightly sync matches subsequent LOU orders to campaign touches by Customer ID within a 30-day attribution window.</w:t>
      </w:r>
    </w:p>
    <w:p>
      <w:pPr>
        <w:pStyle w:val="ListParagraph"/>
        <w:numPr>
          <w:ilvl w:val="0"/>
          <w:numId w:val="2"/>
        </w:numPr>
        <w:spacing w:after="80"/>
      </w:pPr>
      <w:r>
        <w:rPr>
          <w:rFonts w:ascii="Calibri" w:cs="Calibri" w:eastAsia="Calibri" w:hAnsi="Calibri"/>
          <w:color w:val="222222"/>
          <w:sz w:val="22"/>
          <w:szCs w:val="22"/>
        </w:rPr>
        <w:t xml:space="preserve">Each dealer receives a monthly Revenue Attribution Report: per campaign — audience size, touches, responses, attributed orders, attributed revenue — plus review volume and list growth.</w:t>
      </w:r>
    </w:p>
    <w:p>
      <w:pPr>
        <w:pStyle w:val="ListParagraph"/>
        <w:numPr>
          <w:ilvl w:val="0"/>
          <w:numId w:val="2"/>
        </w:numPr>
        <w:spacing w:after="80"/>
      </w:pPr>
      <w:r>
        <w:rPr>
          <w:rFonts w:ascii="Calibri" w:cs="Calibri" w:eastAsia="Calibri" w:hAnsi="Calibri"/>
          <w:color w:val="222222"/>
          <w:sz w:val="22"/>
          <w:szCs w:val="22"/>
        </w:rPr>
        <w:t xml:space="preserve">Evosus receives an aggregate program scorecard (no dealer customer data): enrolled dealers, campaigns live, attributed revenue across the program — the numbers that fuel referrals and the joint case study.</w:t>
      </w:r>
    </w:p>
    <w:p>
      <w:pPr>
        <w:spacing w:after="60"/>
      </w:pPr>
      <w:r>
        <w:rPr>
          <w:rFonts w:ascii="Calibri" w:cs="Calibri" w:eastAsia="Calibri" w:hAnsi="Calibri"/>
          <w:b/>
          <w:bCs/>
          <w:color w:val="222222"/>
          <w:sz w:val="22"/>
          <w:szCs w:val="22"/>
        </w:rPr>
        <w:t xml:space="preserve">Program KPI targets for the 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Metric</w:t>
            </w:r>
          </w:p>
        </w:tc>
        <w:tc>
          <w:tcPr>
            <w:tcW w:type="dxa" w:w="61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Pilot target (per dealer, by day 90)</w:t>
            </w:r>
          </w:p>
        </w:tc>
      </w:tr>
      <w:tr>
        <w:tc>
          <w:tcPr>
            <w:tcW w:type="dxa" w:w="32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Attributed orders</w:t>
            </w:r>
          </w:p>
        </w:tc>
        <w:tc>
          <w:tcPr>
            <w:tcW w:type="dxa" w:w="61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 1 attributed order per 100 synced contacts per month by month 3</w:t>
            </w:r>
          </w:p>
        </w:tc>
      </w:tr>
      <w:tr>
        <w:tc>
          <w:tcPr>
            <w:tcW w:type="dxa" w:w="32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Review velocity</w:t>
            </w:r>
          </w:p>
        </w:tc>
        <w:tc>
          <w:tcPr>
            <w:tcW w:type="dxa" w:w="61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+50% monthly Google review volume vs. pre-pilot baseline</w:t>
            </w:r>
          </w:p>
        </w:tc>
      </w:tr>
      <w:tr>
        <w:tc>
          <w:tcPr>
            <w:tcW w:type="dxa" w:w="32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Service-plan conversions</w:t>
            </w:r>
          </w:p>
        </w:tc>
        <w:tc>
          <w:tcPr>
            <w:tcW w:type="dxa" w:w="61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5–8% of serviced customers offered a plan</w:t>
            </w:r>
          </w:p>
        </w:tc>
      </w:tr>
      <w:tr>
        <w:tc>
          <w:tcPr>
            <w:tcW w:type="dxa" w:w="32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Reactivation</w:t>
            </w:r>
          </w:p>
        </w:tc>
        <w:tc>
          <w:tcPr>
            <w:tcW w:type="dxa" w:w="61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3–5% of the dormant file places an order</w:t>
            </w:r>
          </w:p>
        </w:tc>
      </w:tr>
      <w:tr>
        <w:tc>
          <w:tcPr>
            <w:tcW w:type="dxa" w:w="32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Dealer satisfaction</w:t>
            </w:r>
          </w:p>
        </w:tc>
        <w:tc>
          <w:tcPr>
            <w:tcW w:type="dxa" w:w="61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Dealer would recommend the program (the referral engine test)</w:t>
            </w:r>
          </w:p>
        </w:tc>
      </w:tr>
    </w:tbl>
    <w:p>
      <w:pPr>
        <w:pStyle w:val="Heading1"/>
        <w:spacing w:after="160" w:before="320"/>
      </w:pPr>
      <w:r>
        <w:rPr>
          <w:rFonts w:ascii="Cambria" w:cs="Cambria" w:eastAsia="Cambria" w:hAnsi="Cambria"/>
          <w:b/>
          <w:bCs/>
          <w:color w:val="21295C"/>
          <w:sz w:val="32"/>
          <w:szCs w:val="32"/>
        </w:rPr>
        <w:t xml:space="preserve">9. The 90-Day Pilot</w:t>
      </w:r>
    </w:p>
    <w:p>
      <w:pPr>
        <w:spacing w:after="120"/>
      </w:pPr>
      <w:r>
        <w:rPr>
          <w:rFonts w:ascii="Calibri" w:cs="Calibri" w:eastAsia="Calibri" w:hAnsi="Calibri"/>
          <w:color w:val="222222"/>
          <w:sz w:val="22"/>
          <w:szCs w:val="22"/>
        </w:rPr>
        <w:t xml:space="preserve">A small, well-instrumented pilot de-risks the engineering investment and produces the case study that sells the program at scale. Proposed shape: 3–5 dealers, 90 days, starting when the orders-by-date API is available (late August per current Evosus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Window</w:t>
            </w:r>
          </w:p>
        </w:tc>
        <w:tc>
          <w:tcPr>
            <w:tcW w:type="dxa" w:w="76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Milestones</w:t>
            </w:r>
          </w:p>
        </w:tc>
      </w:tr>
      <w:tr>
        <w:tc>
          <w:tcPr>
            <w:tcW w:type="dxa" w:w="17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Weeks 1–2</w:t>
            </w:r>
          </w:p>
        </w:tc>
        <w:tc>
          <w:tcPr>
            <w:tcW w:type="dxa" w:w="76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Dealer selection &amp; authorization; per-dealer API credentials; data sync validated end-to-end; brand voice, offers, and templates configured; consent and quiet-hours rules set</w:t>
            </w:r>
          </w:p>
        </w:tc>
      </w:tr>
      <w:tr>
        <w:tc>
          <w:tcPr>
            <w:tcW w:type="dxa" w:w="17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Weeks 3–4</w:t>
            </w:r>
          </w:p>
        </w:tc>
        <w:tc>
          <w:tcPr>
            <w:tcW w:type="dxa" w:w="76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Wave 1 live: Welcome Splash (1), Service Excellence Loop (3), Complete the Backyard (2)</w:t>
            </w:r>
          </w:p>
        </w:tc>
      </w:tr>
      <w:tr>
        <w:tc>
          <w:tcPr>
            <w:tcW w:type="dxa" w:w="17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Weeks 5–8</w:t>
            </w:r>
          </w:p>
        </w:tc>
        <w:tc>
          <w:tcPr>
            <w:tcW w:type="dxa" w:w="76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Wave 2 live: Season Ready (6), Water Care Autopilot (5); first monthly attribution reports; copy and offer optimization</w:t>
            </w:r>
          </w:p>
        </w:tc>
      </w:tr>
      <w:tr>
        <w:tc>
          <w:tcPr>
            <w:tcW w:type="dxa" w:w="17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Weeks 9–12</w:t>
            </w:r>
          </w:p>
        </w:tc>
        <w:tc>
          <w:tcPr>
            <w:tcW w:type="dxa" w:w="76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Wave 3 live: Welcome Back (7), Upgrade Path (8); pilot scorecard assembled; joint case study drafted; go/no-go and pricing review for scale-up</w:t>
            </w:r>
          </w:p>
        </w:tc>
      </w:tr>
    </w:tbl>
    <w:p>
      <w:pPr>
        <w:spacing w:after="160"/>
      </w:pPr>
    </w:p>
    <w:p>
      <w:pPr>
        <w:spacing w:after="120"/>
      </w:pPr>
      <w:r>
        <w:rPr>
          <w:rFonts w:ascii="Calibri" w:cs="Calibri" w:eastAsia="Calibri" w:hAnsi="Calibri"/>
          <w:color w:val="222222"/>
          <w:sz w:val="22"/>
          <w:szCs w:val="22"/>
        </w:rPr>
        <w:t xml:space="preserve">Pilot dealer profile: on LOU with ecommerce enabled, ≥ 1,500 customer records, active service department, and an owner willing to give feedback. Ideally one retail-heavy, one service-heavy, and one balanced dealer, so results generalize.</w:t>
      </w:r>
    </w:p>
    <w:p>
      <w:pPr>
        <w:pStyle w:val="Heading1"/>
        <w:spacing w:after="160" w:before="320"/>
      </w:pPr>
      <w:r>
        <w:rPr>
          <w:rFonts w:ascii="Cambria" w:cs="Cambria" w:eastAsia="Cambria" w:hAnsi="Cambria"/>
          <w:b/>
          <w:bCs/>
          <w:color w:val="21295C"/>
          <w:sz w:val="32"/>
          <w:szCs w:val="32"/>
        </w:rPr>
        <w:t xml:space="preserve">10. Data Governance &amp; Compliance</w:t>
      </w:r>
    </w:p>
    <w:p>
      <w:pPr>
        <w:pStyle w:val="ListParagraph"/>
        <w:numPr>
          <w:ilvl w:val="0"/>
          <w:numId w:val="2"/>
        </w:numPr>
        <w:spacing w:after="80"/>
      </w:pPr>
      <w:r>
        <w:rPr>
          <w:rFonts w:ascii="Calibri" w:cs="Calibri" w:eastAsia="Calibri" w:hAnsi="Calibri"/>
          <w:b/>
          <w:bCs/>
          <w:color w:val="222222"/>
          <w:sz w:val="22"/>
          <w:szCs w:val="22"/>
        </w:rPr>
        <w:t xml:space="preserve">Scope of use. </w:t>
      </w:r>
      <w:r>
        <w:rPr>
          <w:rFonts w:ascii="Calibri" w:cs="Calibri" w:eastAsia="Calibri" w:hAnsi="Calibri"/>
          <w:color w:val="222222"/>
          <w:sz w:val="22"/>
          <w:szCs w:val="22"/>
        </w:rPr>
        <w:t xml:space="preserve">Each dealer’s data is used solely to market on that dealer’s behalf to that dealer’s customers. No cross-dealer pooling, resale, or third-party sharing.</w:t>
      </w:r>
    </w:p>
    <w:p>
      <w:pPr>
        <w:pStyle w:val="ListParagraph"/>
        <w:numPr>
          <w:ilvl w:val="0"/>
          <w:numId w:val="2"/>
        </w:numPr>
        <w:spacing w:after="80"/>
      </w:pPr>
      <w:r>
        <w:rPr>
          <w:rFonts w:ascii="Calibri" w:cs="Calibri" w:eastAsia="Calibri" w:hAnsi="Calibri"/>
          <w:b/>
          <w:bCs/>
          <w:color w:val="222222"/>
          <w:sz w:val="22"/>
          <w:szCs w:val="22"/>
        </w:rPr>
        <w:t xml:space="preserve">Authorization chain. </w:t>
      </w:r>
      <w:r>
        <w:rPr>
          <w:rFonts w:ascii="Calibri" w:cs="Calibri" w:eastAsia="Calibri" w:hAnsi="Calibri"/>
          <w:color w:val="222222"/>
          <w:sz w:val="22"/>
          <w:szCs w:val="22"/>
        </w:rPr>
        <w:t xml:space="preserve">Dealer authorizes Evosus to share data with SSP at enrollment; a simple three-party data-sharing agreement records scope, security, and deletion terms.</w:t>
      </w:r>
    </w:p>
    <w:p>
      <w:pPr>
        <w:pStyle w:val="ListParagraph"/>
        <w:numPr>
          <w:ilvl w:val="0"/>
          <w:numId w:val="2"/>
        </w:numPr>
        <w:spacing w:after="80"/>
      </w:pPr>
      <w:r>
        <w:rPr>
          <w:rFonts w:ascii="Calibri" w:cs="Calibri" w:eastAsia="Calibri" w:hAnsi="Calibri"/>
          <w:b/>
          <w:bCs/>
          <w:color w:val="222222"/>
          <w:sz w:val="22"/>
          <w:szCs w:val="22"/>
        </w:rPr>
        <w:t xml:space="preserve">Email compliance (CAN-SPAM). </w:t>
      </w:r>
      <w:r>
        <w:rPr>
          <w:rFonts w:ascii="Calibri" w:cs="Calibri" w:eastAsia="Calibri" w:hAnsi="Calibri"/>
          <w:color w:val="222222"/>
          <w:sz w:val="22"/>
          <w:szCs w:val="22"/>
        </w:rPr>
        <w:t xml:space="preserve">Dealer identity on every send, working unsubscribe honored across all campaigns for that dealer.</w:t>
      </w:r>
    </w:p>
    <w:p>
      <w:pPr>
        <w:pStyle w:val="ListParagraph"/>
        <w:numPr>
          <w:ilvl w:val="0"/>
          <w:numId w:val="2"/>
        </w:numPr>
        <w:spacing w:after="80"/>
      </w:pPr>
      <w:r>
        <w:rPr>
          <w:rFonts w:ascii="Calibri" w:cs="Calibri" w:eastAsia="Calibri" w:hAnsi="Calibri"/>
          <w:b/>
          <w:bCs/>
          <w:color w:val="222222"/>
          <w:sz w:val="22"/>
          <w:szCs w:val="22"/>
        </w:rPr>
        <w:t xml:space="preserve">SMS compliance (TCPA). </w:t>
      </w:r>
      <w:r>
        <w:rPr>
          <w:rFonts w:ascii="Calibri" w:cs="Calibri" w:eastAsia="Calibri" w:hAnsi="Calibri"/>
          <w:color w:val="222222"/>
          <w:sz w:val="22"/>
          <w:szCs w:val="22"/>
        </w:rPr>
        <w:t xml:space="preserve">SMS only to customers with appropriate consent; quiet hours enforced; opt-out honored instantly. Transactional-style touches (satisfaction check) kept clearly distinct from promotional sends.</w:t>
      </w:r>
    </w:p>
    <w:p>
      <w:pPr>
        <w:pStyle w:val="ListParagraph"/>
        <w:numPr>
          <w:ilvl w:val="0"/>
          <w:numId w:val="2"/>
        </w:numPr>
        <w:spacing w:after="80"/>
      </w:pPr>
      <w:r>
        <w:rPr>
          <w:rFonts w:ascii="Calibri" w:cs="Calibri" w:eastAsia="Calibri" w:hAnsi="Calibri"/>
          <w:b/>
          <w:bCs/>
          <w:color w:val="222222"/>
          <w:sz w:val="22"/>
          <w:szCs w:val="22"/>
        </w:rPr>
        <w:t xml:space="preserve">Security. </w:t>
      </w:r>
      <w:r>
        <w:rPr>
          <w:rFonts w:ascii="Calibri" w:cs="Calibri" w:eastAsia="Calibri" w:hAnsi="Calibri"/>
          <w:color w:val="222222"/>
          <w:sz w:val="22"/>
          <w:szCs w:val="22"/>
        </w:rPr>
        <w:t xml:space="preserve">Per-dealer API credentials; encrypted transport and storage; access limited to the SSP delivery team.</w:t>
      </w:r>
    </w:p>
    <w:p>
      <w:pPr>
        <w:pStyle w:val="ListParagraph"/>
        <w:numPr>
          <w:ilvl w:val="0"/>
          <w:numId w:val="2"/>
        </w:numPr>
        <w:spacing w:after="80"/>
      </w:pPr>
      <w:r>
        <w:rPr>
          <w:rFonts w:ascii="Calibri" w:cs="Calibri" w:eastAsia="Calibri" w:hAnsi="Calibri"/>
          <w:b/>
          <w:bCs/>
          <w:color w:val="222222"/>
          <w:sz w:val="22"/>
          <w:szCs w:val="22"/>
        </w:rPr>
        <w:t xml:space="preserve">Exit. </w:t>
      </w:r>
      <w:r>
        <w:rPr>
          <w:rFonts w:ascii="Calibri" w:cs="Calibri" w:eastAsia="Calibri" w:hAnsi="Calibri"/>
          <w:color w:val="222222"/>
          <w:sz w:val="22"/>
          <w:szCs w:val="22"/>
        </w:rPr>
        <w:t xml:space="preserve">On disenrollment, campaigns stop and the dealer’s synced data is deleted from SSP systems within 30 days.</w:t>
      </w:r>
    </w:p>
    <w:p>
      <w:pPr>
        <w:pStyle w:val="Heading1"/>
        <w:spacing w:after="160" w:before="320"/>
      </w:pPr>
      <w:r>
        <w:rPr>
          <w:rFonts w:ascii="Cambria" w:cs="Cambria" w:eastAsia="Cambria" w:hAnsi="Cambria"/>
          <w:b/>
          <w:bCs/>
          <w:color w:val="21295C"/>
          <w:sz w:val="32"/>
          <w:szCs w:val="32"/>
        </w:rPr>
        <w:t xml:space="preserve">11. Rollout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260"/>
      </w:tblGrid>
      <w:tr>
        <w:trPr>
          <w:tblHeader/>
        </w:trPr>
        <w:tc>
          <w:tcPr>
            <w:tcW w:type="dxa" w:w="19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Phase</w:t>
            </w:r>
          </w:p>
        </w:tc>
        <w:tc>
          <w:tcPr>
            <w:tcW w:type="dxa" w:w="220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Timing</w:t>
            </w:r>
          </w:p>
        </w:tc>
        <w:tc>
          <w:tcPr>
            <w:tcW w:type="dxa" w:w="5260"/>
            <w:shd w:fill="21295C"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Focus</w:t>
            </w:r>
          </w:p>
        </w:tc>
      </w:tr>
      <w:tr>
        <w:tc>
          <w:tcPr>
            <w:tcW w:type="dxa" w:w="19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1. Pilot</w:t>
            </w:r>
          </w:p>
        </w:tc>
        <w:tc>
          <w:tcPr>
            <w:tcW w:type="dxa" w:w="22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Sep–Nov 2026</w:t>
            </w:r>
          </w:p>
        </w:tc>
        <w:tc>
          <w:tcPr>
            <w:tcW w:type="dxa" w:w="52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3–5 dealers on the nightly sync; prove attribution; assemble the case study</w:t>
            </w:r>
          </w:p>
        </w:tc>
      </w:tr>
      <w:tr>
        <w:tc>
          <w:tcPr>
            <w:tcW w:type="dxa" w:w="19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 Productize</w:t>
            </w:r>
          </w:p>
        </w:tc>
        <w:tc>
          <w:tcPr>
            <w:tcW w:type="dxa" w:w="220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Dec 2026–Jan 2027</w:t>
            </w:r>
          </w:p>
        </w:tc>
        <w:tc>
          <w:tcPr>
            <w:tcW w:type="dxa" w:w="5260"/>
            <w:shd w:fill="EAF2F6"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Package and pricing finalized; in-LOU enrollment flow; co-branded collateral; real-time triggers as Evosus ships them</w:t>
            </w:r>
          </w:p>
        </w:tc>
      </w:tr>
      <w:tr>
        <w:tc>
          <w:tcPr>
            <w:tcW w:type="dxa" w:w="19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3. Scale</w:t>
            </w:r>
          </w:p>
        </w:tc>
        <w:tc>
          <w:tcPr>
            <w:tcW w:type="dxa" w:w="220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2027</w:t>
            </w:r>
          </w:p>
        </w:tc>
        <w:tc>
          <w:tcPr>
            <w:tcW w:type="dxa" w:w="5260"/>
            <w:shd w:fill="FFFFFF" w:val="clear"/>
            <w:tcMar>
              <w:top w:type="dxa" w:w="60"/>
              <w:left w:type="dxa" w:w="100"/>
              <w:bottom w:type="dxa" w:w="60"/>
              <w:right w:type="dxa" w:w="100"/>
            </w:tcMar>
          </w:tcPr>
          <w:p>
            <w:pPr>
              <w:spacing w:after="40"/>
            </w:pPr>
            <w:r>
              <w:rPr>
                <w:rFonts w:ascii="Calibri" w:cs="Calibri" w:eastAsia="Calibri" w:hAnsi="Calibri"/>
                <w:color w:val="222222"/>
                <w:sz w:val="20"/>
                <w:szCs w:val="20"/>
              </w:rPr>
              <w:t xml:space="preserve">Evosus referral engine live; quarterly business reviews per dealer; new triggers (quotes, install dates, appointments) unlock Campaigns 4 and 9; joint presence at industry events</w:t>
            </w:r>
          </w:p>
        </w:tc>
      </w:tr>
    </w:tbl>
    <w:p>
      <w:pPr>
        <w:spacing w:after="160"/>
      </w:pPr>
    </w:p>
    <w:p>
      <w:pPr>
        <w:spacing w:after="120"/>
      </w:pPr>
      <w:r>
        <w:rPr>
          <w:rFonts w:ascii="Calibri" w:cs="Calibri" w:eastAsia="Calibri" w:hAnsi="Calibri"/>
          <w:color w:val="222222"/>
          <w:sz w:val="22"/>
          <w:szCs w:val="22"/>
        </w:rPr>
        <w:t xml:space="preserve">Business-model note: the mutual value exchange (Evosus refers dealers to SSP; SSP refers non-LOU pool and spa businesses to Evosus; dealers enroll free and subscribe to SSP’s managed program) is the working assumption of this plan. Referral terms, any revenue share, and exclusivity are partnership decisions to finalize during the pilot — with real numbers on the table.</w:t>
      </w:r>
    </w:p>
    <w:p>
      <w:pPr>
        <w:pStyle w:val="Heading1"/>
        <w:spacing w:after="160" w:before="320"/>
      </w:pPr>
      <w:r>
        <w:rPr>
          <w:rFonts w:ascii="Cambria" w:cs="Cambria" w:eastAsia="Cambria" w:hAnsi="Cambria"/>
          <w:b/>
          <w:bCs/>
          <w:color w:val="21295C"/>
          <w:sz w:val="32"/>
          <w:szCs w:val="32"/>
        </w:rPr>
        <w:t xml:space="preserve">12. Next Steps</w:t>
      </w:r>
    </w:p>
    <w:p>
      <w:pPr>
        <w:pStyle w:val="ListParagraph"/>
        <w:numPr>
          <w:ilvl w:val="0"/>
          <w:numId w:val="2"/>
        </w:numPr>
        <w:spacing w:after="80"/>
      </w:pPr>
      <w:r>
        <w:rPr>
          <w:rFonts w:ascii="Calibri" w:cs="Calibri" w:eastAsia="Calibri" w:hAnsi="Calibri"/>
          <w:color w:val="222222"/>
          <w:sz w:val="22"/>
          <w:szCs w:val="22"/>
        </w:rPr>
        <w:t xml:space="preserve">Confirm the interim orders-by-date API scope with Evosus engineering (completed-order handling, status values, dollar amounts via order detail) — in progress.</w:t>
      </w:r>
    </w:p>
    <w:p>
      <w:pPr>
        <w:pStyle w:val="ListParagraph"/>
        <w:numPr>
          <w:ilvl w:val="0"/>
          <w:numId w:val="2"/>
        </w:numPr>
        <w:spacing w:after="80"/>
      </w:pPr>
      <w:r>
        <w:rPr>
          <w:rFonts w:ascii="Calibri" w:cs="Calibri" w:eastAsia="Calibri" w:hAnsi="Calibri"/>
          <w:color w:val="222222"/>
          <w:sz w:val="22"/>
          <w:szCs w:val="22"/>
        </w:rPr>
        <w:t xml:space="preserve">Align on this campaign portfolio and the pilot shape in the next Pam–Dan working session.</w:t>
      </w:r>
    </w:p>
    <w:p>
      <w:pPr>
        <w:pStyle w:val="ListParagraph"/>
        <w:numPr>
          <w:ilvl w:val="0"/>
          <w:numId w:val="2"/>
        </w:numPr>
        <w:spacing w:after="80"/>
      </w:pPr>
      <w:r>
        <w:rPr>
          <w:rFonts w:ascii="Calibri" w:cs="Calibri" w:eastAsia="Calibri" w:hAnsi="Calibri"/>
          <w:color w:val="222222"/>
          <w:sz w:val="22"/>
          <w:szCs w:val="22"/>
        </w:rPr>
        <w:t xml:space="preserve">Jointly select 3–5 pilot dealers and begin authorization paperwork.</w:t>
      </w:r>
    </w:p>
    <w:p>
      <w:pPr>
        <w:pStyle w:val="ListParagraph"/>
        <w:numPr>
          <w:ilvl w:val="0"/>
          <w:numId w:val="2"/>
        </w:numPr>
        <w:spacing w:after="80"/>
      </w:pPr>
      <w:r>
        <w:rPr>
          <w:rFonts w:ascii="Calibri" w:cs="Calibri" w:eastAsia="Calibri" w:hAnsi="Calibri"/>
          <w:color w:val="222222"/>
          <w:sz w:val="22"/>
          <w:szCs w:val="22"/>
        </w:rPr>
        <w:t xml:space="preserve">SSP builds the sync + attribution pipeline against the acceptance environment now, so the pilot starts the week production credentials arrive.</w:t>
      </w:r>
    </w:p>
    <w:p>
      <w:pPr>
        <w:pStyle w:val="ListParagraph"/>
        <w:numPr>
          <w:ilvl w:val="0"/>
          <w:numId w:val="2"/>
        </w:numPr>
        <w:spacing w:after="80"/>
      </w:pPr>
      <w:r>
        <w:rPr>
          <w:rFonts w:ascii="Calibri" w:cs="Calibri" w:eastAsia="Calibri" w:hAnsi="Calibri"/>
          <w:color w:val="222222"/>
          <w:sz w:val="22"/>
          <w:szCs w:val="22"/>
        </w:rPr>
        <w:t xml:space="preserve">Draft the three-party data-sharing agreement in parallel (SSP to provide the first draft).</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2026-08-20T19:04:05.101Z</dcterms:created>
  <dcterms:modified xsi:type="dcterms:W3CDTF">2026-08-20T19:04:05.102Z</dcterms:modified>
</cp:coreProperties>
</file>

<file path=docProps/custom.xml><?xml version="1.0" encoding="utf-8"?>
<Properties xmlns="http://schemas.openxmlformats.org/officeDocument/2006/custom-properties" xmlns:vt="http://schemas.openxmlformats.org/officeDocument/2006/docPropsVTypes"/>
</file>