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none"/>
          <w:insideV w:val="none"/>
        </w:tblBorders>
      </w:tblPr>
      <w:tblGrid>
        <w:gridCol w:w="10080"/>
      </w:tblGrid>
      <w:tr>
        <w:tc>
          <w:tcPr>
            <w:tcW w:type="dxa" w:w="10080"/>
            <w:shd w:fill="21295C" w:val="clear"/>
            <w:tcMar>
              <w:top w:type="dxa" w:w="160"/>
              <w:left w:type="dxa" w:w="160"/>
              <w:bottom w:type="dxa" w:w="160"/>
              <w:right w:type="dxa" w:w="160"/>
            </w:tcMar>
          </w:tcPr>
          <w:p>
            <w:pPr>
              <w:spacing w:after="40"/>
            </w:pPr>
            <w:r>
              <w:rPr>
                <w:rFonts w:ascii="Cambria" w:cs="Cambria" w:eastAsia="Cambria" w:hAnsi="Cambria"/>
                <w:b/>
                <w:bCs/>
                <w:color w:val="FFFFFF"/>
                <w:sz w:val="40"/>
                <w:szCs w:val="40"/>
              </w:rPr>
              <w:t xml:space="preserve">The LOU Growth Program</w:t>
            </w:r>
          </w:p>
          <w:p>
            <w:pPr>
              <w:spacing w:after="0"/>
            </w:pPr>
            <w:r>
              <w:rPr>
                <w:rFonts w:ascii="Calibri" w:cs="Calibri" w:eastAsia="Calibri" w:hAnsi="Calibri"/>
                <w:color w:val="CADCFC"/>
                <w:sz w:val="18"/>
                <w:szCs w:val="18"/>
              </w:rPr>
              <w:t xml:space="preserve">Data-driven marketing for pool, spa &amp; hot tub dealers  •  An Evosus × Small Screen Producer partnership</w:t>
            </w:r>
          </w:p>
        </w:tc>
      </w:tr>
    </w:tbl>
    <w:p>
      <w:pPr>
        <w:spacing w:after="100" w:before="120"/>
      </w:pPr>
      <w:r>
        <w:rPr>
          <w:rFonts w:ascii="Calibri" w:cs="Calibri" w:eastAsia="Calibri" w:hAnsi="Calibri"/>
          <w:b/>
          <w:bCs/>
          <w:color w:val="222222"/>
          <w:sz w:val="18"/>
          <w:szCs w:val="18"/>
        </w:rPr>
        <w:t xml:space="preserve">The vision. </w:t>
      </w:r>
      <w:r>
        <w:rPr>
          <w:rFonts w:ascii="Calibri" w:cs="Calibri" w:eastAsia="Calibri" w:hAnsi="Calibri"/>
          <w:color w:val="222222"/>
          <w:sz w:val="18"/>
          <w:szCs w:val="18"/>
        </w:rPr>
        <w:t xml:space="preserve">Every completed order in LOU is a marketing moment. The LOU Growth Program connects LOU’s customer and transaction data to Small Screen Producer’s marketing engine so those moments become automatic revenue for dealers — with every campaign measured against real orders in LOU, not clicks.</w:t>
      </w:r>
    </w:p>
    <w:p>
      <w:pPr>
        <w:spacing w:after="60" w:before="140"/>
      </w:pPr>
      <w:r>
        <w:rPr>
          <w:rFonts w:ascii="Cambria" w:cs="Cambria" w:eastAsia="Cambria" w:hAnsi="Cambria"/>
          <w:b/>
          <w:bCs/>
          <w:color w:val="065A82"/>
          <w:sz w:val="21"/>
          <w:szCs w:val="21"/>
        </w:rPr>
        <w:t xml:space="preserve">How the partnership works</w:t>
      </w:r>
    </w:p>
    <w:tbl>
      <w:tblPr>
        <w:tblW w:type="dxa" w:w="10080"/>
        <w:tblBorders>
          <w:top w:val="none"/>
          <w:left w:val="none"/>
          <w:bottom w:val="none"/>
          <w:right w:val="none"/>
          <w:insideH w:val="none"/>
          <w:insideV w:val="none"/>
        </w:tblBorders>
      </w:tblPr>
      <w:tblGrid>
        <w:gridCol w:w="3360"/>
        <w:gridCol w:w="3360"/>
        <w:gridCol w:w="3360"/>
      </w:tblGrid>
      <w:tr>
        <w:tc>
          <w:tcPr>
            <w:tcW w:type="dxa" w:w="3360"/>
            <w:shd w:fill="EAF2F6" w:val="clear"/>
            <w:tcMar>
              <w:top w:type="dxa" w:w="90"/>
              <w:left w:type="dxa" w:w="90"/>
              <w:bottom w:type="dxa" w:w="90"/>
              <w:right w:type="dxa" w:w="90"/>
            </w:tcMar>
          </w:tcPr>
          <w:p>
            <w:pPr>
              <w:spacing w:after="40"/>
            </w:pPr>
            <w:r>
              <w:rPr>
                <w:rFonts w:ascii="Calibri" w:cs="Calibri" w:eastAsia="Calibri" w:hAnsi="Calibri"/>
                <w:b/>
                <w:bCs/>
                <w:color w:val="21295C"/>
                <w:sz w:val="18"/>
                <w:szCs w:val="18"/>
              </w:rPr>
              <w:t xml:space="preserve">Dealer</w:t>
            </w:r>
          </w:p>
          <w:p>
            <w:pPr>
              <w:spacing w:after="30"/>
            </w:pPr>
            <w:r>
              <w:rPr>
                <w:rFonts w:ascii="Calibri" w:cs="Calibri" w:eastAsia="Calibri" w:hAnsi="Calibri"/>
                <w:color w:val="333333"/>
                <w:sz w:val="16"/>
                <w:szCs w:val="16"/>
              </w:rPr>
              <w:t xml:space="preserve">•  Enrolls free; authorizes secure data sharing</w:t>
            </w:r>
          </w:p>
          <w:p>
            <w:pPr>
              <w:spacing w:after="30"/>
            </w:pPr>
            <w:r>
              <w:rPr>
                <w:rFonts w:ascii="Calibri" w:cs="Calibri" w:eastAsia="Calibri" w:hAnsi="Calibri"/>
                <w:color w:val="333333"/>
                <w:sz w:val="16"/>
                <w:szCs w:val="16"/>
              </w:rPr>
              <w:t xml:space="preserve">•  Gets managed lifecycle campaigns</w:t>
            </w:r>
          </w:p>
          <w:p>
            <w:pPr>
              <w:spacing w:after="30"/>
            </w:pPr>
            <w:r>
              <w:rPr>
                <w:rFonts w:ascii="Calibri" w:cs="Calibri" w:eastAsia="Calibri" w:hAnsi="Calibri"/>
                <w:color w:val="333333"/>
                <w:sz w:val="16"/>
                <w:szCs w:val="16"/>
              </w:rPr>
              <w:t xml:space="preserve">•  Sees attributed revenue monthly</w:t>
            </w:r>
          </w:p>
        </w:tc>
        <w:tc>
          <w:tcPr>
            <w:tcW w:type="dxa" w:w="3360"/>
            <w:shd w:fill="EAF2F6" w:val="clear"/>
            <w:tcMar>
              <w:top w:type="dxa" w:w="90"/>
              <w:left w:type="dxa" w:w="90"/>
              <w:bottom w:type="dxa" w:w="90"/>
              <w:right w:type="dxa" w:w="90"/>
            </w:tcMar>
          </w:tcPr>
          <w:p>
            <w:pPr>
              <w:spacing w:after="40"/>
            </w:pPr>
            <w:r>
              <w:rPr>
                <w:rFonts w:ascii="Calibri" w:cs="Calibri" w:eastAsia="Calibri" w:hAnsi="Calibri"/>
                <w:b/>
                <w:bCs/>
                <w:color w:val="21295C"/>
                <w:sz w:val="18"/>
                <w:szCs w:val="18"/>
              </w:rPr>
              <w:t xml:space="preserve">Evosus</w:t>
            </w:r>
          </w:p>
          <w:p>
            <w:pPr>
              <w:spacing w:after="30"/>
            </w:pPr>
            <w:r>
              <w:rPr>
                <w:rFonts w:ascii="Calibri" w:cs="Calibri" w:eastAsia="Calibri" w:hAnsi="Calibri"/>
                <w:color w:val="333333"/>
                <w:sz w:val="16"/>
                <w:szCs w:val="16"/>
              </w:rPr>
              <w:t xml:space="preserve">•  Builds APIs &amp; enrollment in LOU</w:t>
            </w:r>
          </w:p>
          <w:p>
            <w:pPr>
              <w:spacing w:after="30"/>
            </w:pPr>
            <w:r>
              <w:rPr>
                <w:rFonts w:ascii="Calibri" w:cs="Calibri" w:eastAsia="Calibri" w:hAnsi="Calibri"/>
                <w:color w:val="333333"/>
                <w:sz w:val="16"/>
                <w:szCs w:val="16"/>
              </w:rPr>
              <w:t xml:space="preserve">•  Refers dealers to the program</w:t>
            </w:r>
          </w:p>
          <w:p>
            <w:pPr>
              <w:spacing w:after="30"/>
            </w:pPr>
            <w:r>
              <w:rPr>
                <w:rFonts w:ascii="Calibri" w:cs="Calibri" w:eastAsia="Calibri" w:hAnsi="Calibri"/>
                <w:color w:val="333333"/>
                <w:sz w:val="16"/>
                <w:szCs w:val="16"/>
              </w:rPr>
              <w:t xml:space="preserve">•  Gains LOU differentiation + referrals of non-LOU dealers</w:t>
            </w:r>
          </w:p>
        </w:tc>
        <w:tc>
          <w:tcPr>
            <w:tcW w:type="dxa" w:w="3360"/>
            <w:shd w:fill="EAF2F6" w:val="clear"/>
            <w:tcMar>
              <w:top w:type="dxa" w:w="90"/>
              <w:left w:type="dxa" w:w="90"/>
              <w:bottom w:type="dxa" w:w="90"/>
              <w:right w:type="dxa" w:w="90"/>
            </w:tcMar>
          </w:tcPr>
          <w:p>
            <w:pPr>
              <w:spacing w:after="40"/>
            </w:pPr>
            <w:r>
              <w:rPr>
                <w:rFonts w:ascii="Calibri" w:cs="Calibri" w:eastAsia="Calibri" w:hAnsi="Calibri"/>
                <w:b/>
                <w:bCs/>
                <w:color w:val="21295C"/>
                <w:sz w:val="18"/>
                <w:szCs w:val="18"/>
              </w:rPr>
              <w:t xml:space="preserve">Small Screen Producer</w:t>
            </w:r>
          </w:p>
          <w:p>
            <w:pPr>
              <w:spacing w:after="30"/>
            </w:pPr>
            <w:r>
              <w:rPr>
                <w:rFonts w:ascii="Calibri" w:cs="Calibri" w:eastAsia="Calibri" w:hAnsi="Calibri"/>
                <w:color w:val="333333"/>
                <w:sz w:val="16"/>
                <w:szCs w:val="16"/>
              </w:rPr>
              <w:t xml:space="preserve">•  Strategy, creative, execution, optimization</w:t>
            </w:r>
          </w:p>
          <w:p>
            <w:pPr>
              <w:spacing w:after="30"/>
            </w:pPr>
            <w:r>
              <w:rPr>
                <w:rFonts w:ascii="Calibri" w:cs="Calibri" w:eastAsia="Calibri" w:hAnsi="Calibri"/>
                <w:color w:val="333333"/>
                <w:sz w:val="16"/>
                <w:szCs w:val="16"/>
              </w:rPr>
              <w:t xml:space="preserve">•  Compliance &amp; reporting handled</w:t>
            </w:r>
          </w:p>
          <w:p>
            <w:pPr>
              <w:spacing w:after="30"/>
            </w:pPr>
            <w:r>
              <w:rPr>
                <w:rFonts w:ascii="Calibri" w:cs="Calibri" w:eastAsia="Calibri" w:hAnsi="Calibri"/>
                <w:color w:val="333333"/>
                <w:sz w:val="16"/>
                <w:szCs w:val="16"/>
              </w:rPr>
              <w:t xml:space="preserve">•  Refers pool/spa businesses to LOU</w:t>
            </w:r>
          </w:p>
        </w:tc>
      </w:tr>
    </w:tbl>
    <w:p>
      <w:pPr>
        <w:spacing w:after="60" w:before="140"/>
      </w:pPr>
      <w:r>
        <w:rPr>
          <w:rFonts w:ascii="Cambria" w:cs="Cambria" w:eastAsia="Cambria" w:hAnsi="Cambria"/>
          <w:b/>
          <w:bCs/>
          <w:color w:val="065A82"/>
          <w:sz w:val="21"/>
          <w:szCs w:val="21"/>
        </w:rPr>
        <w:t xml:space="preserve">The campaign portfolio — triggered by LOU order activity</w:t>
      </w:r>
    </w:p>
    <w:tbl>
      <w:tblPr>
        <w:tblW w:type="dxa" w:w="10080"/>
        <w:tblBorders>
          <w:top w:val="none"/>
          <w:left w:val="none"/>
          <w:bottom w:val="none"/>
          <w:right w:val="none"/>
          <w:insideH w:val="none"/>
          <w:insideV w:val="none"/>
        </w:tblBorders>
      </w:tblPr>
      <w:tblGrid>
        <w:gridCol w:w="5040"/>
        <w:gridCol w:w="5040"/>
      </w:tblGrid>
      <w:tr>
        <w:tc>
          <w:tcPr>
            <w:tcW w:type="dxa" w:w="5040"/>
            <w:tcMar>
              <w:top w:type="dxa" w:w="60"/>
              <w:left w:type="dxa" w:w="60"/>
              <w:bottom w:type="dxa" w:w="60"/>
              <w:right w:type="dxa" w:w="60"/>
            </w:tcMar>
          </w:tcPr>
          <w:p>
            <w:pPr>
              <w:spacing w:after="34"/>
            </w:pPr>
            <w:r>
              <w:rPr>
                <w:rFonts w:ascii="Calibri" w:cs="Calibri" w:eastAsia="Calibri" w:hAnsi="Calibri"/>
                <w:b/>
                <w:bCs/>
                <w:color w:val="065A82"/>
                <w:sz w:val="16"/>
                <w:szCs w:val="16"/>
              </w:rPr>
              <w:t xml:space="preserve">1. Welcome Splash — </w:t>
            </w:r>
            <w:r>
              <w:rPr>
                <w:rFonts w:ascii="Calibri" w:cs="Calibri" w:eastAsia="Calibri" w:hAnsi="Calibri"/>
                <w:color w:val="333333"/>
                <w:sz w:val="16"/>
                <w:szCs w:val="16"/>
              </w:rPr>
              <w:t xml:space="preserve">first Sale order → welcome series, review capture, starter cross-sell</w:t>
            </w:r>
          </w:p>
          <w:p>
            <w:pPr>
              <w:spacing w:after="34"/>
            </w:pPr>
            <w:r>
              <w:rPr>
                <w:rFonts w:ascii="Calibri" w:cs="Calibri" w:eastAsia="Calibri" w:hAnsi="Calibri"/>
                <w:b/>
                <w:bCs/>
                <w:color w:val="065A82"/>
                <w:sz w:val="16"/>
                <w:szCs w:val="16"/>
              </w:rPr>
              <w:t xml:space="preserve">2. Complete the Backyard — </w:t>
            </w:r>
            <w:r>
              <w:rPr>
                <w:rFonts w:ascii="Calibri" w:cs="Calibri" w:eastAsia="Calibri" w:hAnsi="Calibri"/>
                <w:color w:val="333333"/>
                <w:sz w:val="16"/>
                <w:szCs w:val="16"/>
              </w:rPr>
              <w:t xml:space="preserve">order SKUs → matched accessory bundles for big-ticket buyers</w:t>
            </w:r>
          </w:p>
          <w:p>
            <w:pPr>
              <w:spacing w:after="34"/>
            </w:pPr>
            <w:r>
              <w:rPr>
                <w:rFonts w:ascii="Calibri" w:cs="Calibri" w:eastAsia="Calibri" w:hAnsi="Calibri"/>
                <w:b/>
                <w:bCs/>
                <w:color w:val="065A82"/>
                <w:sz w:val="16"/>
                <w:szCs w:val="16"/>
              </w:rPr>
              <w:t xml:space="preserve">3. Service Excellence Loop — </w:t>
            </w:r>
            <w:r>
              <w:rPr>
                <w:rFonts w:ascii="Calibri" w:cs="Calibri" w:eastAsia="Calibri" w:hAnsi="Calibri"/>
                <w:color w:val="333333"/>
                <w:sz w:val="16"/>
                <w:szCs w:val="16"/>
              </w:rPr>
              <w:t xml:space="preserve">Work order done → satisfaction check, reviews, service-plan upsell</w:t>
            </w:r>
          </w:p>
          <w:p>
            <w:pPr>
              <w:spacing w:after="34"/>
            </w:pPr>
            <w:r>
              <w:rPr>
                <w:rFonts w:ascii="Calibri" w:cs="Calibri" w:eastAsia="Calibri" w:hAnsi="Calibri"/>
                <w:b/>
                <w:bCs/>
                <w:color w:val="065A82"/>
                <w:sz w:val="16"/>
                <w:szCs w:val="16"/>
              </w:rPr>
              <w:t xml:space="preserve">4. Quote Rescue* — </w:t>
            </w:r>
            <w:r>
              <w:rPr>
                <w:rFonts w:ascii="Calibri" w:cs="Calibri" w:eastAsia="Calibri" w:hAnsi="Calibri"/>
                <w:color w:val="333333"/>
                <w:sz w:val="16"/>
                <w:szCs w:val="16"/>
              </w:rPr>
              <w:t xml:space="preserve">stalled estimates → 5-touch recovery with financing framing</w:t>
            </w:r>
          </w:p>
          <w:p>
            <w:pPr>
              <w:spacing w:after="34"/>
            </w:pPr>
            <w:r>
              <w:rPr>
                <w:rFonts w:ascii="Calibri" w:cs="Calibri" w:eastAsia="Calibri" w:hAnsi="Calibri"/>
                <w:b/>
                <w:bCs/>
                <w:color w:val="065A82"/>
                <w:sz w:val="16"/>
                <w:szCs w:val="16"/>
              </w:rPr>
              <w:t xml:space="preserve">5. Water Care Autopilot — </w:t>
            </w:r>
            <w:r>
              <w:rPr>
                <w:rFonts w:ascii="Calibri" w:cs="Calibri" w:eastAsia="Calibri" w:hAnsi="Calibri"/>
                <w:color w:val="333333"/>
                <w:sz w:val="16"/>
                <w:szCs w:val="16"/>
              </w:rPr>
              <w:t xml:space="preserve">consumable cycles → reorder reminders into LOU ecommerce</w:t>
            </w:r>
          </w:p>
        </w:tc>
        <w:tc>
          <w:tcPr>
            <w:tcW w:type="dxa" w:w="5040"/>
            <w:tcMar>
              <w:top w:type="dxa" w:w="60"/>
              <w:left w:type="dxa" w:w="60"/>
              <w:bottom w:type="dxa" w:w="60"/>
              <w:right w:type="dxa" w:w="60"/>
            </w:tcMar>
          </w:tcPr>
          <w:p>
            <w:pPr>
              <w:spacing w:after="34"/>
            </w:pPr>
            <w:r>
              <w:rPr>
                <w:rFonts w:ascii="Calibri" w:cs="Calibri" w:eastAsia="Calibri" w:hAnsi="Calibri"/>
                <w:b/>
                <w:bCs/>
                <w:color w:val="065A82"/>
                <w:sz w:val="16"/>
                <w:szCs w:val="16"/>
              </w:rPr>
              <w:t xml:space="preserve">6. Season Ready — </w:t>
            </w:r>
            <w:r>
              <w:rPr>
                <w:rFonts w:ascii="Calibri" w:cs="Calibri" w:eastAsia="Calibri" w:hAnsi="Calibri"/>
                <w:color w:val="333333"/>
                <w:sz w:val="16"/>
                <w:szCs w:val="16"/>
              </w:rPr>
              <w:t xml:space="preserve">segment + calendar → early-bird openings/closings, seasonal pushes</w:t>
            </w:r>
          </w:p>
          <w:p>
            <w:pPr>
              <w:spacing w:after="34"/>
            </w:pPr>
            <w:r>
              <w:rPr>
                <w:rFonts w:ascii="Calibri" w:cs="Calibri" w:eastAsia="Calibri" w:hAnsi="Calibri"/>
                <w:b/>
                <w:bCs/>
                <w:color w:val="065A82"/>
                <w:sz w:val="16"/>
                <w:szCs w:val="16"/>
              </w:rPr>
              <w:t xml:space="preserve">7. Welcome Back — </w:t>
            </w:r>
            <w:r>
              <w:rPr>
                <w:rFonts w:ascii="Calibri" w:cs="Calibri" w:eastAsia="Calibri" w:hAnsi="Calibri"/>
                <w:color w:val="333333"/>
                <w:sz w:val="16"/>
                <w:szCs w:val="16"/>
              </w:rPr>
              <w:t xml:space="preserve">12–18 mo. dormant → win-back offers and feedback ask</w:t>
            </w:r>
          </w:p>
          <w:p>
            <w:pPr>
              <w:spacing w:after="34"/>
            </w:pPr>
            <w:r>
              <w:rPr>
                <w:rFonts w:ascii="Calibri" w:cs="Calibri" w:eastAsia="Calibri" w:hAnsi="Calibri"/>
                <w:b/>
                <w:bCs/>
                <w:color w:val="065A82"/>
                <w:sz w:val="16"/>
                <w:szCs w:val="16"/>
              </w:rPr>
              <w:t xml:space="preserve">8. Upgrade Path — </w:t>
            </w:r>
            <w:r>
              <w:rPr>
                <w:rFonts w:ascii="Calibri" w:cs="Calibri" w:eastAsia="Calibri" w:hAnsi="Calibri"/>
                <w:color w:val="333333"/>
                <w:sz w:val="16"/>
                <w:szCs w:val="16"/>
              </w:rPr>
              <w:t xml:space="preserve">service-only customers → repair-vs-replace, showroom traffic</w:t>
            </w:r>
          </w:p>
          <w:p>
            <w:pPr>
              <w:spacing w:after="34"/>
            </w:pPr>
            <w:r>
              <w:rPr>
                <w:rFonts w:ascii="Calibri" w:cs="Calibri" w:eastAsia="Calibri" w:hAnsi="Calibri"/>
                <w:b/>
                <w:bCs/>
                <w:color w:val="065A82"/>
                <w:sz w:val="16"/>
                <w:szCs w:val="16"/>
              </w:rPr>
              <w:t xml:space="preserve">9. Smart Replacement* — </w:t>
            </w:r>
            <w:r>
              <w:rPr>
                <w:rFonts w:ascii="Calibri" w:cs="Calibri" w:eastAsia="Calibri" w:hAnsi="Calibri"/>
                <w:color w:val="333333"/>
                <w:sz w:val="16"/>
                <w:szCs w:val="16"/>
              </w:rPr>
              <w:t xml:space="preserve">equipment age → planned replacement before failure</w:t>
            </w:r>
          </w:p>
          <w:p>
            <w:pPr>
              <w:spacing w:after="0"/>
            </w:pPr>
            <w:r>
              <w:rPr>
                <w:rFonts w:ascii="Calibri" w:cs="Calibri" w:eastAsia="Calibri" w:hAnsi="Calibri"/>
                <w:i/>
                <w:iCs/>
                <w:color w:val="5A6B76"/>
                <w:sz w:val="14"/>
                <w:szCs w:val="14"/>
              </w:rPr>
              <w:t xml:space="preserve">* Runs when Evosus ships the quote/install-date triggers — a revenue-linked API roadmap.</w:t>
            </w:r>
          </w:p>
        </w:tc>
      </w:tr>
    </w:tbl>
    <w:tbl>
      <w:tblPr>
        <w:tblW w:type="dxa" w:w="10080"/>
        <w:tblBorders>
          <w:top w:val="none"/>
          <w:left w:val="none"/>
          <w:bottom w:val="none"/>
          <w:right w:val="none"/>
          <w:insideH w:val="none"/>
          <w:insideV w:val="none"/>
        </w:tblBorders>
      </w:tblPr>
      <w:tblGrid>
        <w:gridCol w:w="5040"/>
        <w:gridCol w:w="5040"/>
      </w:tblGrid>
      <w:tr>
        <w:tc>
          <w:tcPr>
            <w:tcW w:type="dxa" w:w="5040"/>
            <w:shd w:fill="065A82" w:val="clear"/>
            <w:tcMar>
              <w:top w:type="dxa" w:w="140"/>
              <w:left w:type="dxa" w:w="140"/>
              <w:bottom w:type="dxa" w:w="140"/>
              <w:right w:type="dxa" w:w="140"/>
            </w:tcMar>
          </w:tcPr>
          <w:p>
            <w:pPr>
              <w:spacing w:after="40"/>
            </w:pPr>
            <w:r>
              <w:rPr>
                <w:rFonts w:ascii="Cambria" w:cs="Cambria" w:eastAsia="Cambria" w:hAnsi="Cambria"/>
                <w:b/>
                <w:bCs/>
                <w:color w:val="FFFFFF"/>
                <w:sz w:val="21"/>
                <w:szCs w:val="21"/>
              </w:rPr>
              <w:t xml:space="preserve">Closed-loop proof</w:t>
            </w:r>
          </w:p>
          <w:p>
            <w:pPr>
              <w:spacing w:after="0"/>
            </w:pPr>
            <w:r>
              <w:rPr>
                <w:rFonts w:ascii="Calibri" w:cs="Calibri" w:eastAsia="Calibri" w:hAnsi="Calibri"/>
                <w:color w:val="EAF2F6"/>
                <w:sz w:val="16"/>
                <w:szCs w:val="16"/>
              </w:rPr>
              <w:t xml:space="preserve">Because orders live in LOU, every campaign is matched to subsequent orders by Customer ID. Dealers get a monthly Revenue Attribution Report — campaigns → orders → dollars. That proof is what makes the program repeatable and referable.</w:t>
            </w:r>
          </w:p>
        </w:tc>
        <w:tc>
          <w:tcPr>
            <w:tcW w:type="dxa" w:w="5040"/>
            <w:shd w:fill="EAF2F6" w:val="clear"/>
            <w:tcMar>
              <w:top w:type="dxa" w:w="140"/>
              <w:left w:type="dxa" w:w="140"/>
              <w:bottom w:type="dxa" w:w="140"/>
              <w:right w:type="dxa" w:w="140"/>
            </w:tcMar>
          </w:tcPr>
          <w:p>
            <w:pPr>
              <w:spacing w:after="40"/>
            </w:pPr>
            <w:r>
              <w:rPr>
                <w:rFonts w:ascii="Cambria" w:cs="Cambria" w:eastAsia="Cambria" w:hAnsi="Cambria"/>
                <w:b/>
                <w:bCs/>
                <w:color w:val="21295C"/>
                <w:sz w:val="21"/>
                <w:szCs w:val="21"/>
              </w:rPr>
              <w:t xml:space="preserve">90-day pilot proposal</w:t>
            </w:r>
          </w:p>
          <w:p>
            <w:pPr>
              <w:spacing w:after="26"/>
            </w:pPr>
            <w:r>
              <w:rPr>
                <w:rFonts w:ascii="Calibri" w:cs="Calibri" w:eastAsia="Calibri" w:hAnsi="Calibri"/>
                <w:sz w:val="16"/>
                <w:szCs w:val="16"/>
              </w:rPr>
              <w:t xml:space="preserve">•  3–5 dealers, starting on the new orders-by-date API (late Aug)</w:t>
            </w:r>
          </w:p>
          <w:p>
            <w:pPr>
              <w:spacing w:after="26"/>
            </w:pPr>
            <w:r>
              <w:rPr>
                <w:rFonts w:ascii="Calibri" w:cs="Calibri" w:eastAsia="Calibri" w:hAnsi="Calibri"/>
                <w:sz w:val="16"/>
                <w:szCs w:val="16"/>
              </w:rPr>
              <w:t xml:space="preserve">•  Weeks 1–2 onboard  •  3–4 launch wave 1  •  5–12 waves 2–3 + optimize</w:t>
            </w:r>
          </w:p>
          <w:p>
            <w:pPr>
              <w:spacing w:after="26"/>
            </w:pPr>
            <w:r>
              <w:rPr>
                <w:rFonts w:ascii="Calibri" w:cs="Calibri" w:eastAsia="Calibri" w:hAnsi="Calibri"/>
                <w:sz w:val="16"/>
                <w:szCs w:val="16"/>
              </w:rPr>
              <w:t xml:space="preserve">•  Targets: +50% review velocity; 3–5% dormant reactivation; ≥1 attributed order per 100 contacts/mo</w:t>
            </w:r>
          </w:p>
          <w:p>
            <w:pPr>
              <w:spacing w:after="0"/>
            </w:pPr>
            <w:r>
              <w:rPr>
                <w:rFonts w:ascii="Calibri" w:cs="Calibri" w:eastAsia="Calibri" w:hAnsi="Calibri"/>
                <w:sz w:val="16"/>
                <w:szCs w:val="16"/>
              </w:rPr>
              <w:t xml:space="preserve">•  Output: joint case study that powers the referral engine</w:t>
            </w:r>
          </w:p>
        </w:tc>
      </w:tr>
    </w:tbl>
    <w:p>
      <w:pPr>
        <w:spacing w:after="60" w:before="140"/>
      </w:pPr>
      <w:r>
        <w:rPr>
          <w:rFonts w:ascii="Cambria" w:cs="Cambria" w:eastAsia="Cambria" w:hAnsi="Cambria"/>
          <w:b/>
          <w:bCs/>
          <w:color w:val="065A82"/>
          <w:sz w:val="21"/>
          <w:szCs w:val="21"/>
        </w:rPr>
        <w:t xml:space="preserve">Next steps</w:t>
      </w:r>
    </w:p>
    <w:p>
      <w:pPr>
        <w:spacing w:after="80" w:before="0"/>
      </w:pPr>
      <w:r>
        <w:rPr>
          <w:rFonts w:ascii="Calibri" w:cs="Calibri" w:eastAsia="Calibri" w:hAnsi="Calibri"/>
          <w:color w:val="222222"/>
          <w:sz w:val="17"/>
          <w:szCs w:val="17"/>
        </w:rPr>
        <w:t xml:space="preserve">1) Confirm interim API scope with Evosus engineering (in progress).  2) Align on this portfolio and pilot shape in the next working session.  3) Select pilot dealers jointly and start authorizations.  4) SSP builds the sync + attribution pipeline against the acceptance environment now — pilot starts the week production credentials arrive.</w:t>
      </w:r>
    </w:p>
    <w:p>
      <w:pPr>
        <w:spacing w:after="60" w:before="60"/>
        <w:jc w:val="center"/>
      </w:pPr>
      <w:r>
        <w:rPr>
          <w:rFonts w:ascii="Calibri" w:cs="Calibri" w:eastAsia="Calibri" w:hAnsi="Calibri"/>
          <w:color w:val="5A6B76"/>
          <w:sz w:val="15"/>
          <w:szCs w:val="15"/>
        </w:rPr>
        <w:t xml:space="preserve">Small Screen Producer  •  pvinje@smallscreenproducer.com  •  281-569-4371</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2026-08-20T19:04:49.406Z</dcterms:created>
  <dcterms:modified xsi:type="dcterms:W3CDTF">2026-08-20T19:04:49.406Z</dcterms:modified>
</cp:coreProperties>
</file>

<file path=docProps/custom.xml><?xml version="1.0" encoding="utf-8"?>
<Properties xmlns="http://schemas.openxmlformats.org/officeDocument/2006/custom-properties" xmlns:vt="http://schemas.openxmlformats.org/officeDocument/2006/docPropsVTypes"/>
</file>