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Intellectual Interests</w:t>
      </w:r>
    </w:p>
    <w:p>
      <w:pPr>
        <w:pBdr>
          <w:bottom w:val="single" w:color="000000" w:sz="12" w:space="4"/>
        </w:pBdr>
        <w:spacing w:after="40"/>
      </w:pPr>
      <w:r>
        <w:rPr>
          <w:rFonts w:ascii="Times New Roman" w:cs="Times New Roman" w:eastAsia="Times New Roman" w:hAnsi="Times New Roman"/>
          <w:i/>
          <w:iCs/>
          <w:color w:val="444444"/>
          <w:sz w:val="21"/>
          <w:szCs w:val="21"/>
        </w:rPr>
        <w:t xml:space="preserve">Areas of interest across physics, chemistry, and materials science, with related interests beyond.</w:t>
      </w:r>
    </w:p>
    <w:p>
      <w:pPr>
        <w:spacing w:after="110"/>
      </w:pPr>
    </w:p>
    <w:p>
      <w:pPr>
        <w:pStyle w:val="ListParagraph"/>
        <w:numPr>
          <w:ilvl w:val="0"/>
          <w:numId w:val="2"/>
        </w:numPr>
        <w:spacing w:after="140" w:line="258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Quantum information systems: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superconducting (transmon) and spin qubits, defect color centers, and rare-earth-ion and molecular spin qubits; quantum coherence and decoherence, spin-lattice (T1) and spin-spin (T2) relaxation, hyperfine and spin-orbit coupling, clock transitions and decoherence-free subspaces; entanglement and the DiVincenzo criteria, cavity and circuit QED coupling, quantum error correction and surface codes; and the materials chemistry behind platforms such as IBM Quantum.</w:t>
      </w:r>
    </w:p>
    <w:p>
      <w:pPr>
        <w:pStyle w:val="ListParagraph"/>
        <w:numPr>
          <w:ilvl w:val="0"/>
          <w:numId w:val="2"/>
        </w:numPr>
        <w:spacing w:after="140" w:line="258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Quantum materials: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BCS and unconventional (cuprate and iron-based) superconductivity and Cooper pairing; band topology, Berry curvature, Chern numbers, and Z2 invariants in topological insulators and Weyl and Dirac semimetals; charge- and spin-density-wave order and the Peierls instability; kagome lattices, geometric frustration, flat bands, and van Hove singularities; the Hubbard model, Mott insulators, and Kondo physics and heavy fermions; and quantum criticality and emergent phases from competing orders.</w:t>
      </w:r>
    </w:p>
    <w:p>
      <w:pPr>
        <w:pStyle w:val="ListParagraph"/>
        <w:numPr>
          <w:ilvl w:val="0"/>
          <w:numId w:val="2"/>
        </w:numPr>
        <w:spacing w:after="140" w:line="258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Magnetism and magnetic materials: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direct exchange, superexchange and the Goodenough-Kanamori rules, double exchange, RKKY, and Dzyaloshinskii-Moriya interactions; the Heisenberg and Ising models and mean-field theory; ferromagnetic, antiferromagnetic, and ferrimagnetic ordering with their Curie and Neel transitions; rare-earth 4f magnetism, crystal-field splitting, Hund's rules, and single-ion anisotropy; magnetocrystalline anisotropy and spin-orbit coupling; magneto-optical Faraday and Kerr effects and magnetic circular dichroism; and magnetic frustration and the resolution of magnetic structure by neutron diffraction.</w:t>
      </w:r>
    </w:p>
    <w:p>
      <w:pPr>
        <w:pStyle w:val="ListParagraph"/>
        <w:numPr>
          <w:ilvl w:val="0"/>
          <w:numId w:val="2"/>
        </w:numPr>
        <w:spacing w:after="140" w:line="258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Synthesis, structure, and property relationships: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solid-state and colloidal synthesis, LaMer nucleation and growth, and single-source precursor design; thermodynamic versus kinetic control and phase-diagram reasoning; crystal-field and ligand-field theory; cation site substitution, aliovalent doping, and Vegard's law; point-defect chemistry in Kroger-Vink terms; and the Goldschmidt tolerance factor and related structure-property descriptors linking composition to electronic, magnetic, and optical behavior.</w:t>
      </w:r>
    </w:p>
    <w:p>
      <w:pPr>
        <w:pStyle w:val="ListParagraph"/>
        <w:numPr>
          <w:ilvl w:val="0"/>
          <w:numId w:val="2"/>
        </w:numPr>
        <w:spacing w:after="140" w:line="258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Nanoelectronics and spintronics: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giant and tunnel magnetoresistance, magnetic tunnel junctions, and spin transport; spin-transfer and spin-orbit torque, the Rashba effect, and the spin Hall effect; spin injection and spin-diffusion length; and interfacial phenomena in thin-film heterostructures that couple magnetic order to charge transport.</w:t>
      </w:r>
    </w:p>
    <w:p>
      <w:pPr>
        <w:pStyle w:val="ListParagraph"/>
        <w:numPr>
          <w:ilvl w:val="0"/>
          <w:numId w:val="2"/>
        </w:numPr>
        <w:spacing w:after="140" w:line="258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Energy storage and conversion: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electrochemical intercalation and ion transport, redox chemistry of electrode materials, ionic conductivity in solid-state electrolytes, and overpotential and electrocatalysis in energy conversion.</w:t>
      </w:r>
    </w:p>
    <w:p>
      <w:pPr>
        <w:pStyle w:val="ListParagraph"/>
        <w:numPr>
          <w:ilvl w:val="0"/>
          <w:numId w:val="2"/>
        </w:numPr>
        <w:spacing w:after="140" w:line="258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Financial markets and analysis: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discounted-cash-flow and dividend-discount valuation, relative and multiples-based valuation, and fundamental and financial-statement analysis; the efficient-market hypothesis and its limits; modern portfolio theory and mean-variance optimization; and the capital asset pricing model, arbitrage pricing theory, and multi-factor (Fama-French) models linking risk to expected return.</w:t>
      </w:r>
    </w:p>
    <w:p>
      <w:pPr>
        <w:pStyle w:val="ListParagraph"/>
        <w:numPr>
          <w:ilvl w:val="0"/>
          <w:numId w:val="2"/>
        </w:numPr>
        <w:spacing w:after="140" w:line="258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Trading and market behavior: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market microstructure, price formation, liquidity, and the bid-ask spread; the random-walk hypothesis, momentum, and mean reversion; implied and realized volatility and Black-Scholes option pricing; and behavioral finance, prospect theory, and cognitive biases, approached from a semi-quantitative but primarily analytical rather than algorithmic perspective.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Intellectual Interests</dc:title>
  <dc:creator>Matthew Cotaj</dc:creator>
  <cp:lastModifiedBy>Un-named</cp:lastModifiedBy>
  <cp:revision>1</cp:revision>
  <dcterms:created xsi:type="dcterms:W3CDTF">2026-08-15T19:05:50.581Z</dcterms:created>
  <dcterms:modified xsi:type="dcterms:W3CDTF">2026-08-15T19:05:50.592Z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