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38D4AA1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Inspection NDT and surveys carried out</w:t>
      </w:r>
      <w:bookmarkEnd w:id="2"/>
    </w:p>
    <w:p w14:paraId="76A9FB57" w14:textId="4EC7D6C6" w:rsidR="00E325C9" w:rsidRDefault="00E325C9" w:rsidP="00E325C9">
      <w:pPr>
        <w:pStyle w:val="Heading2"/>
      </w:pPr>
      <w:bookmarkStart w:id="3" w:name="_Toc129891293"/>
      <w:r>
        <w:t>NDT and survey equipment used</w:t>
      </w:r>
      <w:bookmarkEnd w:id="3"/>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mat_type</w:t>
            </w:r>
            <w:proofErr w:type="spellEnd"/>
            <w:r w:rsidRPr="00823A48">
              <w:rPr>
                <w:sz w:val="22"/>
                <w:szCs w:val="24"/>
              </w:rPr>
              <w:t>}</w:t>
            </w:r>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A, B, C and D examination point are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w:t>
      </w:r>
      <w:r>
        <w:t>addi_roof</w:t>
      </w:r>
      <w:r>
        <w:t>}</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w:t>
      </w:r>
      <w:r>
        <w:t>nz</w:t>
      </w:r>
      <w:r>
        <w:t>}</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w:t>
      </w:r>
      <w:r>
        <w:t>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_course}{course_no}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r w:rsidRPr="00A53869">
              <w:t>rl</w:t>
            </w:r>
            <w:proofErr w:type="spell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t_actual</w:t>
            </w:r>
            <w:proofErr w:type="spell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w:t>
      </w:r>
      <w:r>
        <w:t>shell</w:t>
      </w:r>
      <w:r>
        <w:t>}</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w:t>
      </w:r>
      <w:r>
        <w:t>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w:t>
      </w:r>
      <w:r>
        <w:t>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w:t>
      </w:r>
      <w:r>
        <w:t>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w:t>
      </w:r>
      <w:r>
        <w:t>annular</w:t>
      </w:r>
      <w:r>
        <w:t>}</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w:t>
      </w:r>
      <w:r>
        <w:t>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w:t>
      </w:r>
      <w:r>
        <w:t>critical</w:t>
      </w:r>
      <w:r>
        <w:t>}</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w:t>
      </w:r>
      <w:r>
        <w:t>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w:t>
      </w:r>
      <w:r>
        <w:t>projection</w:t>
      </w:r>
      <w:r>
        <w:t>}</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w:t>
      </w:r>
      <w:r>
        <w:t>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w:t>
      </w:r>
      <w:r>
        <w:t>piping</w:t>
      </w:r>
      <w:r>
        <w:t>}</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w:t>
      </w:r>
      <w:r>
        <w:t>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w:t>
      </w:r>
      <w:r>
        <w:t>coil</w:t>
      </w:r>
      <w:r>
        <w:t>}</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w:t>
      </w:r>
      <w:r>
        <w:t>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w:t>
      </w:r>
      <w:r>
        <w:t>sump</w:t>
      </w:r>
      <w:r>
        <w:t>}</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w:t>
      </w:r>
      <w:r>
        <w:t>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mfl_bottom</w:t>
            </w:r>
            <w:r w:rsidRPr="00B408CD">
              <w:rPr>
                <w:szCs w:val="21"/>
              </w:rPr>
              <w:t>}{</w:t>
            </w:r>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repair_status</w:t>
            </w:r>
            <w:proofErr w:type="spellEnd"/>
            <w:r>
              <w:rPr>
                <w:szCs w:val="21"/>
              </w:rPr>
              <w:t>}</w:t>
            </w:r>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mfl_annular</w:t>
            </w:r>
            <w:r w:rsidRPr="00B408CD">
              <w:rPr>
                <w:szCs w:val="21"/>
              </w:rPr>
              <w:t>}</w:t>
            </w:r>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repair_status</w:t>
            </w:r>
            <w:proofErr w:type="spellEnd"/>
            <w:r>
              <w:rPr>
                <w:szCs w:val="21"/>
              </w:rPr>
              <w:t>}</w:t>
            </w:r>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relative_value</w:t>
            </w:r>
            <w:proofErr w:type="spell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r w:rsidRPr="00847DB8">
              <w:rPr>
                <w:szCs w:val="20"/>
              </w:rPr>
              <w:t>Deviation(2)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{deviation_2_value}{/</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A80119">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pt;height:13.2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A80119">
              <w:rPr>
                <w:noProof/>
                <w:position w:val="-5"/>
                <w:sz w:val="22"/>
                <w:szCs w:val="24"/>
              </w:rPr>
              <w:pict w14:anchorId="0FC5630C">
                <v:shape id="_x0000_i1026" type="#_x0000_t75" alt="" style="width:9.6pt;height:13.2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A80119">
              <w:rPr>
                <w:noProof/>
                <w:position w:val="-5"/>
                <w:sz w:val="22"/>
                <w:szCs w:val="24"/>
              </w:rPr>
              <w:pict w14:anchorId="74EB29DB">
                <v:shape id="_x0000_i1027" type="#_x0000_t75" alt="" style="width:21.6pt;height:13.2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A80119">
              <w:rPr>
                <w:noProof/>
                <w:position w:val="-5"/>
                <w:sz w:val="22"/>
                <w:szCs w:val="24"/>
              </w:rPr>
              <w:pict w14:anchorId="21C755BE">
                <v:shape id="_x0000_i1028" type="#_x0000_t75" alt="" style="width:21.6pt;height:13.2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A80119">
              <w:rPr>
                <w:noProof/>
                <w:position w:val="-5"/>
              </w:rPr>
              <w:pict w14:anchorId="17348658">
                <v:shape id="_x0000_i1029" type="#_x0000_t75" alt="" style="width:24pt;height:13.2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A80119">
              <w:rPr>
                <w:noProof/>
                <w:position w:val="-5"/>
              </w:rPr>
              <w:pict w14:anchorId="5CF323DB">
                <v:shape id="_x0000_i1030" type="#_x0000_t75" alt="" style="width:21.6pt;height:12.6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9"/>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An acceptable method for calculating the minimum acceptable bottom thickness for entire bottom or portion is</w:t>
      </w:r>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r w:rsidRPr="003B0AD9">
        <w:t>Where</w:t>
      </w:r>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r w:rsidRPr="003B0AD9">
        <w:rPr>
          <w:b/>
          <w:bCs/>
        </w:rPr>
        <w:t>RTip</w:t>
      </w:r>
      <w:r w:rsidRPr="003B0AD9">
        <w:t xml:space="preserve">  is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not repair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Or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r w:rsidRPr="003B0AD9">
        <w:t xml:space="preserve">If  MRT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If MRT &gt; tmin:   "Planned internal inspection interval ≤ 15 years"</w:t>
      </w:r>
    </w:p>
    <w:p w14:paraId="2D2784C7" w14:textId="0E6DD822" w:rsidR="0082327F" w:rsidRDefault="0082327F">
      <w:r>
        <w:br w:type="page"/>
      </w:r>
    </w:p>
    <w:p w14:paraId="2709487A" w14:textId="20C0AB36" w:rsidR="0082327F" w:rsidRDefault="0082327F" w:rsidP="0082327F">
      <w:pPr>
        <w:pStyle w:val="Heading3"/>
      </w:pPr>
      <w:r>
        <w:lastRenderedPageBreak/>
        <w:t>Bottom settlement</w:t>
      </w:r>
    </w:p>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50E3" w14:textId="77777777" w:rsidR="001333AA" w:rsidRDefault="001333AA" w:rsidP="00A457A6">
      <w:r>
        <w:separator/>
      </w:r>
    </w:p>
  </w:endnote>
  <w:endnote w:type="continuationSeparator" w:id="0">
    <w:p w14:paraId="00A9BD1D" w14:textId="77777777" w:rsidR="001333AA" w:rsidRDefault="001333AA"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C0AD" w14:textId="77777777" w:rsidR="001333AA" w:rsidRDefault="001333AA" w:rsidP="00A457A6">
      <w:r>
        <w:separator/>
      </w:r>
    </w:p>
  </w:footnote>
  <w:footnote w:type="continuationSeparator" w:id="0">
    <w:p w14:paraId="42C07D27" w14:textId="77777777" w:rsidR="001333AA" w:rsidRDefault="001333AA"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5C3B"/>
    <w:rsid w:val="0013013B"/>
    <w:rsid w:val="001333AA"/>
    <w:rsid w:val="00150F91"/>
    <w:rsid w:val="0015409A"/>
    <w:rsid w:val="001614C3"/>
    <w:rsid w:val="001816CF"/>
    <w:rsid w:val="001B691E"/>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85640"/>
    <w:rsid w:val="00286321"/>
    <w:rsid w:val="002948AB"/>
    <w:rsid w:val="002956FF"/>
    <w:rsid w:val="00296B75"/>
    <w:rsid w:val="002A2084"/>
    <w:rsid w:val="002A72FC"/>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4D5"/>
    <w:rsid w:val="00431D81"/>
    <w:rsid w:val="004437EE"/>
    <w:rsid w:val="00456319"/>
    <w:rsid w:val="00456883"/>
    <w:rsid w:val="00472EF2"/>
    <w:rsid w:val="00474ADE"/>
    <w:rsid w:val="00474B00"/>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03C0"/>
    <w:rsid w:val="00632C10"/>
    <w:rsid w:val="00654013"/>
    <w:rsid w:val="00664C83"/>
    <w:rsid w:val="00673724"/>
    <w:rsid w:val="0067707F"/>
    <w:rsid w:val="006922D0"/>
    <w:rsid w:val="006931C2"/>
    <w:rsid w:val="006A469D"/>
    <w:rsid w:val="006C3577"/>
    <w:rsid w:val="006D6555"/>
    <w:rsid w:val="006D7656"/>
    <w:rsid w:val="006E2514"/>
    <w:rsid w:val="006F01E7"/>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E27B1"/>
    <w:rsid w:val="007F4757"/>
    <w:rsid w:val="007F73C6"/>
    <w:rsid w:val="0081289A"/>
    <w:rsid w:val="008141F0"/>
    <w:rsid w:val="00817E6F"/>
    <w:rsid w:val="0082327F"/>
    <w:rsid w:val="00823A48"/>
    <w:rsid w:val="008402D6"/>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B9A"/>
    <w:rsid w:val="00903E29"/>
    <w:rsid w:val="00906192"/>
    <w:rsid w:val="0091354F"/>
    <w:rsid w:val="009257D8"/>
    <w:rsid w:val="009375D0"/>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0119"/>
    <w:rsid w:val="00A81EB3"/>
    <w:rsid w:val="00A91E61"/>
    <w:rsid w:val="00A92213"/>
    <w:rsid w:val="00AB3218"/>
    <w:rsid w:val="00AC031F"/>
    <w:rsid w:val="00AC07FC"/>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3213E"/>
    <w:rsid w:val="00D3224C"/>
    <w:rsid w:val="00D35A38"/>
    <w:rsid w:val="00D42F4A"/>
    <w:rsid w:val="00D46942"/>
    <w:rsid w:val="00D46977"/>
    <w:rsid w:val="00D47070"/>
    <w:rsid w:val="00D50FA9"/>
    <w:rsid w:val="00D548B6"/>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332DE"/>
    <w:rsid w:val="00E43829"/>
    <w:rsid w:val="00E51497"/>
    <w:rsid w:val="00E5294E"/>
    <w:rsid w:val="00E70CBC"/>
    <w:rsid w:val="00E75951"/>
    <w:rsid w:val="00E857CE"/>
    <w:rsid w:val="00E92B98"/>
    <w:rsid w:val="00E97E98"/>
    <w:rsid w:val="00EA1DB9"/>
    <w:rsid w:val="00EB4D1C"/>
    <w:rsid w:val="00EC5BBD"/>
    <w:rsid w:val="00EC7036"/>
    <w:rsid w:val="00EF272F"/>
    <w:rsid w:val="00EF31DA"/>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35</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321</cp:revision>
  <dcterms:created xsi:type="dcterms:W3CDTF">2023-03-08T09:50:00Z</dcterms:created>
  <dcterms:modified xsi:type="dcterms:W3CDTF">2023-03-20T09:31:00Z</dcterms:modified>
</cp:coreProperties>
</file>