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028B2538" w:rsidR="00D34E1B" w:rsidRPr="00816205" w:rsidRDefault="00503AE7" w:rsidP="00D34E1B">
      <w:pPr>
        <w:jc w:val="center"/>
        <w:rPr>
          <w:rFonts w:ascii="Arial" w:hAnsi="Arial" w:cs="Browallia New"/>
          <w:sz w:val="72"/>
          <w:szCs w:val="91"/>
          <w:lang w:bidi="th-TH"/>
        </w:rPr>
      </w:pPr>
      <w:r>
        <w:rPr>
          <w:noProof/>
          <w:sz w:val="28"/>
          <w:szCs w:val="28"/>
        </w:rPr>
        <w:drawing>
          <wp:inline distT="0" distB="0" distL="0" distR="0" wp14:anchorId="2F1F8347" wp14:editId="66FBFB8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proofErr w:type="spellStart"/>
      <w:r>
        <w:rPr>
          <w:rFonts w:ascii="Arial" w:hAnsi="Arial" w:cs="Arial"/>
        </w:rPr>
        <w:t>Dexon</w:t>
      </w:r>
      <w:proofErr w:type="spellEnd"/>
      <w:r>
        <w:rPr>
          <w:rFonts w:ascii="Arial" w:hAnsi="Arial" w:cs="Arial"/>
        </w:rPr>
        <w:t xml:space="preserve">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137F669C" w:rsidR="00D34E1B" w:rsidRPr="000773F6" w:rsidRDefault="00BD2224" w:rsidP="00D34E1B">
      <w:pPr>
        <w:jc w:val="center"/>
        <w:rPr>
          <w:rFonts w:ascii="Arial" w:hAnsi="Arial" w:cs="Arial"/>
        </w:rPr>
      </w:pPr>
      <w:r>
        <w:rPr>
          <w:rFonts w:ascii="Arial" w:hAnsi="Arial" w:cs="Arial"/>
        </w:rPr>
        <w:t xml:space="preserve">Ban </w:t>
      </w:r>
      <w:proofErr w:type="spellStart"/>
      <w:r>
        <w:rPr>
          <w:rFonts w:ascii="Arial" w:hAnsi="Arial" w:cs="Arial"/>
        </w:rPr>
        <w:t>chang</w:t>
      </w:r>
      <w:proofErr w:type="spellEnd"/>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w:t>
            </w:r>
            <w:proofErr w:type="gramStart"/>
            <w:r w:rsidRPr="007F75E1">
              <w:rPr>
                <w:rFonts w:ascii="Arial" w:hAnsi="Arial" w:cs="Arial"/>
                <w:sz w:val="20"/>
                <w:szCs w:val="20"/>
              </w:rPr>
              <w:t>point}{</w:t>
            </w:r>
            <w:proofErr w:type="gramEnd"/>
            <w:r w:rsidRPr="007F75E1">
              <w:rPr>
                <w:rFonts w:ascii="Arial" w:hAnsi="Arial" w:cs="Arial"/>
                <w:sz w:val="20"/>
                <w:szCs w:val="20"/>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proofErr w:type="gramStart"/>
            <w:r w:rsidR="00C231EC" w:rsidRPr="007F75E1">
              <w:rPr>
                <w:rFonts w:ascii="Arial" w:hAnsi="Arial" w:cs="Arial"/>
                <w:sz w:val="20"/>
                <w:szCs w:val="20"/>
              </w:rPr>
              <w:t>value</w:t>
            </w:r>
            <w:proofErr w:type="spellEnd"/>
            <w:r w:rsidRPr="007F75E1">
              <w:rPr>
                <w:rFonts w:ascii="Arial" w:hAnsi="Arial" w:cs="Arial"/>
                <w:sz w:val="20"/>
                <w:szCs w:val="20"/>
              </w:rPr>
              <w:t>}{</w:t>
            </w:r>
            <w:proofErr w:type="gram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7F75E1" w:rsidRDefault="007F200F" w:rsidP="0013355B">
            <w:pPr>
              <w:spacing w:before="20" w:after="20"/>
              <w:jc w:val="center"/>
              <w:rPr>
                <w:rFonts w:ascii="Arial" w:hAnsi="Arial" w:cs="Arial"/>
                <w:b/>
                <w:bCs/>
                <w:sz w:val="20"/>
                <w:szCs w:val="20"/>
              </w:rPr>
            </w:pPr>
            <w:r w:rsidRPr="007F75E1">
              <w:rPr>
                <w:rFonts w:ascii="Arial" w:hAnsi="Arial" w:cs="Arial"/>
                <w:sz w:val="20"/>
                <w:szCs w:val="20"/>
              </w:rPr>
              <w:t>{#shell_settlement</w:t>
            </w:r>
            <w:r w:rsidR="0013355B" w:rsidRPr="007F75E1">
              <w:rPr>
                <w:rFonts w:ascii="Arial" w:hAnsi="Arial" w:cs="Arial"/>
                <w:sz w:val="20"/>
                <w:szCs w:val="20"/>
              </w:rPr>
              <w:t>_</w:t>
            </w:r>
            <w:proofErr w:type="gramStart"/>
            <w:r w:rsidR="0013355B" w:rsidRPr="007F75E1">
              <w:rPr>
                <w:rFonts w:ascii="Arial" w:hAnsi="Arial" w:cs="Arial"/>
                <w:sz w:val="20"/>
                <w:szCs w:val="20"/>
              </w:rPr>
              <w:t>api</w:t>
            </w:r>
            <w:r w:rsidRPr="007F75E1">
              <w:rPr>
                <w:rFonts w:ascii="Arial" w:hAnsi="Arial" w:cs="Arial"/>
                <w:sz w:val="20"/>
                <w:szCs w:val="20"/>
              </w:rPr>
              <w:t>}{</w:t>
            </w:r>
            <w:proofErr w:type="gramEnd"/>
            <w:r w:rsidRPr="007F75E1">
              <w:rPr>
                <w:rFonts w:ascii="Arial" w:hAnsi="Arial" w:cs="Arial"/>
                <w:sz w:val="20"/>
                <w:szCs w:val="20"/>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7F75E1" w:rsidRDefault="007F200F" w:rsidP="0013355B">
            <w:pPr>
              <w:jc w:val="center"/>
              <w:rPr>
                <w:rFonts w:ascii="Arial" w:hAnsi="Arial" w:cs="Arial"/>
                <w:sz w:val="20"/>
                <w:szCs w:val="20"/>
              </w:rPr>
            </w:pPr>
            <w:r w:rsidRPr="007F75E1">
              <w:rPr>
                <w:rFonts w:ascii="Arial" w:hAnsi="Arial" w:cs="Arial"/>
                <w:sz w:val="20"/>
                <w:szCs w:val="20"/>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7F75E1" w:rsidRDefault="007F200F" w:rsidP="0013355B">
            <w:pPr>
              <w:jc w:val="center"/>
              <w:rPr>
                <w:rFonts w:ascii="Arial" w:hAnsi="Arial" w:cs="Arial"/>
                <w:sz w:val="20"/>
                <w:szCs w:val="20"/>
              </w:rPr>
            </w:pPr>
            <w:r w:rsidRPr="007F75E1">
              <w:rPr>
                <w:rFonts w:ascii="Arial" w:hAnsi="Arial" w:cs="Arial"/>
                <w:sz w:val="20"/>
                <w:szCs w:val="20"/>
              </w:rPr>
              <w:t>{</w:t>
            </w:r>
            <w:proofErr w:type="spellStart"/>
            <w:r w:rsidR="0013355B" w:rsidRPr="007F75E1">
              <w:rPr>
                <w:rFonts w:ascii="Arial" w:hAnsi="Arial" w:cs="Arial"/>
                <w:sz w:val="20"/>
                <w:szCs w:val="20"/>
              </w:rPr>
              <w:t>reduced_level</w:t>
            </w:r>
            <w:proofErr w:type="spellEnd"/>
            <w:r w:rsidR="0013355B"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theta_radians</w:t>
            </w:r>
            <w:proofErr w:type="spellEnd"/>
            <w:r w:rsidRPr="007F75E1">
              <w:rPr>
                <w:rFonts w:ascii="Arial" w:hAnsi="Arial" w:cs="Arial"/>
                <w:sz w:val="20"/>
                <w:szCs w:val="20"/>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theta_degrees</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r w:rsidR="0067028C" w:rsidRPr="007F75E1">
              <w:rPr>
                <w:rFonts w:ascii="Arial" w:hAnsi="Arial" w:cs="Arial"/>
                <w:sz w:val="20"/>
                <w:szCs w:val="20"/>
              </w:rPr>
              <w:t>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7F75E1" w:rsidRDefault="0013355B" w:rsidP="0013355B">
            <w:pPr>
              <w:jc w:val="center"/>
              <w:rPr>
                <w:rFonts w:ascii="Arial" w:hAnsi="Arial" w:cs="Arial"/>
                <w:sz w:val="20"/>
                <w:szCs w:val="20"/>
              </w:rPr>
            </w:pPr>
            <w:r w:rsidRPr="007F75E1">
              <w:rPr>
                <w:rFonts w:ascii="Arial" w:hAnsi="Arial" w:cs="Arial"/>
                <w:sz w:val="20"/>
                <w:szCs w:val="20"/>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difference_value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00C93565" w:rsidRPr="007F75E1">
              <w:rPr>
                <w:rFonts w:ascii="Arial" w:hAnsi="Arial" w:cs="Arial"/>
                <w:sz w:val="20"/>
                <w:szCs w:val="20"/>
              </w:rPr>
              <w:t>out_of_plane</w:t>
            </w:r>
            <w:proofErr w:type="spellEnd"/>
            <w:r w:rsidRPr="007F75E1">
              <w:rPr>
                <w:rFonts w:ascii="Arial" w:hAnsi="Arial" w:cs="Arial"/>
                <w:sz w:val="20"/>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deviation_value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7F75E1" w:rsidRDefault="0013355B" w:rsidP="0013355B">
            <w:pPr>
              <w:jc w:val="center"/>
              <w:rPr>
                <w:rFonts w:ascii="Arial" w:hAnsi="Arial" w:cs="Arial"/>
                <w:sz w:val="20"/>
                <w:szCs w:val="20"/>
              </w:rPr>
            </w:pPr>
            <w:r w:rsidRPr="007F75E1">
              <w:rPr>
                <w:rFonts w:ascii="Arial" w:hAnsi="Arial" w:cs="Arial"/>
                <w:sz w:val="20"/>
                <w:szCs w:val="20"/>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7F75E1" w:rsidRDefault="0013355B" w:rsidP="0013355B">
            <w:pPr>
              <w:jc w:val="center"/>
              <w:rPr>
                <w:rFonts w:ascii="Arial" w:hAnsi="Arial" w:cs="Arial"/>
                <w:sz w:val="20"/>
                <w:szCs w:val="20"/>
              </w:rPr>
            </w:pPr>
            <w:r w:rsidRPr="007F75E1">
              <w:rPr>
                <w:rFonts w:ascii="Arial" w:hAnsi="Arial" w:cs="Arial"/>
                <w:sz w:val="20"/>
                <w:szCs w:val="20"/>
              </w:rPr>
              <w:t>{deviation_2_</w:t>
            </w:r>
            <w:proofErr w:type="gramStart"/>
            <w:r w:rsidRPr="007F75E1">
              <w:rPr>
                <w:rFonts w:ascii="Arial" w:hAnsi="Arial" w:cs="Arial"/>
                <w:sz w:val="20"/>
                <w:szCs w:val="20"/>
              </w:rPr>
              <w:t>value}</w:t>
            </w:r>
            <w:r w:rsidR="00D935C7" w:rsidRPr="007F75E1">
              <w:rPr>
                <w:rFonts w:ascii="Arial" w:hAnsi="Arial" w:cs="Arial"/>
                <w:sz w:val="20"/>
                <w:szCs w:val="20"/>
              </w:rPr>
              <w:t>{</w:t>
            </w:r>
            <w:proofErr w:type="gramEnd"/>
            <w:r w:rsidR="00D935C7" w:rsidRPr="007F75E1">
              <w:rPr>
                <w:rFonts w:ascii="Arial" w:hAnsi="Arial" w:cs="Arial"/>
                <w:sz w:val="20"/>
                <w:szCs w:val="20"/>
              </w:rPr>
              <w:t>/</w:t>
            </w:r>
            <w:proofErr w:type="spellStart"/>
            <w:r w:rsidR="00D935C7" w:rsidRPr="007F75E1">
              <w:rPr>
                <w:rFonts w:ascii="Arial" w:hAnsi="Arial" w:cs="Arial"/>
                <w:sz w:val="20"/>
                <w:szCs w:val="20"/>
              </w:rPr>
              <w:t>shell_settlement_api</w:t>
            </w:r>
            <w:proofErr w:type="spellEnd"/>
            <w:r w:rsidR="00D935C7" w:rsidRPr="007F75E1">
              <w:rPr>
                <w:rFonts w:ascii="Arial" w:hAnsi="Arial" w:cs="Arial"/>
                <w:sz w:val="20"/>
                <w:szCs w:val="20"/>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w:t>
            </w:r>
            <w:proofErr w:type="spellStart"/>
            <w:r w:rsidRPr="0017619D">
              <w:rPr>
                <w:rFonts w:ascii="Arial" w:hAnsi="Arial" w:cs="Arial"/>
                <w:sz w:val="20"/>
                <w:szCs w:val="20"/>
              </w:rPr>
              <w:t>Syy</w:t>
            </w:r>
            <w:proofErr w:type="spellEnd"/>
            <w:r w:rsidRPr="0017619D">
              <w:rPr>
                <w:rFonts w:ascii="Arial" w:hAnsi="Arial" w:cs="Arial"/>
                <w:sz w:val="20"/>
                <w:szCs w:val="20"/>
              </w:rPr>
              <w:t>-SSE)/</w:t>
            </w:r>
            <w:proofErr w:type="spellStart"/>
            <w:r w:rsidRPr="0017619D">
              <w:rPr>
                <w:rFonts w:ascii="Arial" w:hAnsi="Arial" w:cs="Arial"/>
                <w:sz w:val="20"/>
                <w:szCs w:val="20"/>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007F75E1"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l_value</w:t>
            </w:r>
            <w:proofErr w:type="spellEnd"/>
            <w:r w:rsidRPr="007F75E1">
              <w:rPr>
                <w:rFonts w:ascii="Arial" w:hAnsi="Arial" w:cs="Arial"/>
                <w:sz w:val="20"/>
                <w:szCs w:val="20"/>
              </w:rPr>
              <w:t>}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k_value</w:t>
            </w:r>
            <w:proofErr w:type="spellEnd"/>
            <w:r w:rsidRPr="007F75E1">
              <w:rPr>
                <w:rFonts w:ascii="Arial" w:hAnsi="Arial" w:cs="Arial"/>
                <w:sz w:val="20"/>
                <w:szCs w:val="20"/>
              </w:rPr>
              <w:t>}</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E56A6D">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55pt;height:13.55pt;mso-width-percent:0;mso-height-percent:0;mso-width-percent:0;mso-height-percent:0" equationxml="&lt;?xml version=&quot;1.0&quot; encoding=&quot;UTF-8&quot; standalone=&quot;yes&quot;?&gt;&#13;&#10;&#13;&#10;&#13;&#10;&#13;&#10;&#13;&#10;&#13;&#10;&#13;&#10;&#13;&#10;&#13;&#10;&#13;&#10;&#13;&#10;&#13;&#10;&lt;?mso-application progid=&quot;Word.Document&quot;?&gt;&#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s_arc</w:t>
            </w:r>
            <w:proofErr w:type="spellEnd"/>
            <w:r w:rsidRPr="007F75E1">
              <w:rPr>
                <w:rFonts w:ascii="Arial" w:hAnsi="Arial" w:cs="Arial"/>
                <w:sz w:val="20"/>
                <w:szCs w:val="20"/>
              </w:rPr>
              <w:t>}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diameter_ft</w:t>
            </w:r>
            <w:proofErr w:type="spellEnd"/>
            <w:r w:rsidRPr="007F75E1">
              <w:rPr>
                <w:rFonts w:ascii="Arial" w:hAnsi="Arial" w:cs="Arial"/>
                <w:sz w:val="20"/>
                <w:szCs w:val="20"/>
              </w:rPr>
              <w: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308E2729" w14:textId="77777777" w:rsidTr="00670877">
        <w:trPr>
          <w:trHeight w:val="482"/>
          <w:jc w:val="center"/>
        </w:trPr>
        <w:tc>
          <w:tcPr>
            <w:tcW w:w="2829" w:type="dxa"/>
            <w:vAlign w:val="center"/>
          </w:tcPr>
          <w:p w14:paraId="403D99C1" w14:textId="77777777" w:rsidR="007F75E1" w:rsidRPr="007F75E1" w:rsidRDefault="00000000"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000000"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670877">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56A6D">
              <w:rPr>
                <w:rFonts w:ascii="Arial" w:hAnsi="Arial" w:cs="Arial"/>
                <w:noProof/>
                <w:position w:val="-5"/>
                <w:sz w:val="20"/>
                <w:szCs w:val="20"/>
              </w:rPr>
              <w:pict w14:anchorId="3F5710E1">
                <v:shape id="_x0000_i1027" type="#_x0000_t75" alt="" style="width:10.7pt;height:13.55pt;mso-width-percent:0;mso-height-percent:0;mso-width-percent:0;mso-height-percent:0" equationxml="&lt;?xml version=&quot;1.0&quot; encoding=&quot;UTF-8&quot; standalone=&quot;yes&quot;?&gt;&#13;&#10;&#13;&#10;&#13;&#10;&#13;&#10;&#13;&#10;&#13;&#10;&#13;&#10;&#13;&#10;&#13;&#10;&#13;&#10;&#13;&#10;&#13;&#10;&lt;?mso-application progid=&quot;Word.Document&quot;?&gt;&#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00000000">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ui_max</w:t>
            </w:r>
            <w:proofErr w:type="spellEnd"/>
            <w:r w:rsidRPr="007F75E1">
              <w:rPr>
                <w:rFonts w:ascii="Arial" w:hAnsi="Arial" w:cs="Arial"/>
                <w:sz w:val="20"/>
                <w:szCs w:val="20"/>
              </w:rPr>
              <w:t>}</w:t>
            </w:r>
          </w:p>
        </w:tc>
      </w:tr>
      <w:tr w:rsidR="007F75E1" w14:paraId="722BD33E" w14:textId="77777777" w:rsidTr="00670877">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56A6D">
              <w:rPr>
                <w:rFonts w:ascii="Arial" w:hAnsi="Arial" w:cs="Arial"/>
                <w:noProof/>
                <w:position w:val="-5"/>
                <w:sz w:val="20"/>
                <w:szCs w:val="20"/>
              </w:rPr>
              <w:pict w14:anchorId="433752A0">
                <v:shape id="_x0000_i1026" type="#_x0000_t75" alt="" style="width:21.4pt;height:13.55pt;mso-width-percent:0;mso-height-percent:0;mso-width-percent:0;mso-height-percent:0" equationxml="&lt;?xml version=&quot;1.0&quot; encoding=&quot;UTF-8&quot; standalone=&quot;yes&quot;?&gt;&#13;&#10;&#13;&#10;&#13;&#10;&#13;&#10;&#13;&#10;&#13;&#10;&#13;&#10;&#13;&#10;&#13;&#10;&#13;&#10;&#13;&#10;&#13;&#10;&lt;?mso-application progid=&quot;Word.Document&quot;?&gt;&#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ui_before_max</w:t>
            </w:r>
            <w:proofErr w:type="spellEnd"/>
            <w:r w:rsidRPr="007F75E1">
              <w:rPr>
                <w:rFonts w:ascii="Arial" w:hAnsi="Arial" w:cs="Arial"/>
                <w:sz w:val="20"/>
                <w:szCs w:val="20"/>
              </w:rPr>
              <w:t>}</w:t>
            </w:r>
          </w:p>
        </w:tc>
      </w:tr>
      <w:tr w:rsidR="007F75E1" w14:paraId="02B5BA02" w14:textId="77777777" w:rsidTr="00670877">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E56A6D">
              <w:rPr>
                <w:rFonts w:ascii="Arial" w:hAnsi="Arial" w:cs="Arial"/>
                <w:noProof/>
                <w:position w:val="-5"/>
                <w:sz w:val="20"/>
                <w:szCs w:val="20"/>
              </w:rPr>
              <w:pict w14:anchorId="59CF0C93">
                <v:shape id="_x0000_i1025" type="#_x0000_t75" alt="" style="width:21.4pt;height:13.55pt;mso-width-percent:0;mso-height-percent:0;mso-width-percent:0;mso-height-percent:0" equationxml="&lt;?xml version=&quot;1.0&quot; encoding=&quot;UTF-8&quot; standalone=&quot;yes&quot;?&gt;&#13;&#10;&#13;&#10;&#13;&#10;&#13;&#10;&#13;&#10;&#13;&#10;&#13;&#10;&#13;&#10;&#13;&#10;&#13;&#10;&#13;&#10;&#13;&#10;&lt;?mso-application progid=&quot;Word.Document&quot;?&gt;&#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ui_next_max</w:t>
            </w:r>
            <w:proofErr w:type="spellEnd"/>
            <w:r w:rsidRPr="007F75E1">
              <w:rPr>
                <w:rFonts w:ascii="Arial" w:hAnsi="Arial" w:cs="Arial"/>
                <w:sz w:val="20"/>
                <w:szCs w:val="20"/>
              </w:rPr>
              <w:t>}</w:t>
            </w:r>
          </w:p>
        </w:tc>
      </w:tr>
      <w:tr w:rsidR="007F75E1" w14:paraId="1A001F7E" w14:textId="77777777" w:rsidTr="00670877">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r>
      <w:tr w:rsidR="007F75E1" w14:paraId="5430C100" w14:textId="77777777" w:rsidTr="00670877">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670877">
            <w:pPr>
              <w:rPr>
                <w:rFonts w:ascii="Arial" w:hAnsi="Arial" w:cs="Arial"/>
                <w:sz w:val="20"/>
                <w:szCs w:val="20"/>
              </w:rPr>
            </w:pPr>
            <w:r w:rsidRPr="007F75E1">
              <w:rPr>
                <w:rFonts w:ascii="Arial" w:hAnsi="Arial" w:cs="Arial"/>
                <w:sz w:val="20"/>
                <w:szCs w:val="20"/>
              </w:rPr>
              <w:t>{r_2}</w:t>
            </w:r>
          </w:p>
        </w:tc>
      </w:tr>
      <w:tr w:rsidR="007F75E1" w14:paraId="7145CB16" w14:textId="77777777" w:rsidTr="00670877">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predicted_tilt</w:t>
            </w:r>
            <w:proofErr w:type="spellEnd"/>
            <w:r w:rsidRPr="007F75E1">
              <w:rPr>
                <w:rFonts w:ascii="Arial" w:hAnsi="Arial" w:cs="Arial"/>
                <w:sz w:val="20"/>
                <w:szCs w:val="20"/>
              </w:rPr>
              <w: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direction_degrees_cw_pi</w:t>
            </w:r>
            <w:proofErr w:type="spellEnd"/>
            <w:r w:rsidRPr="007F75E1">
              <w:rPr>
                <w:rFonts w:ascii="Arial" w:hAnsi="Arial" w:cs="Arial"/>
                <w:sz w:val="20"/>
                <w:szCs w:val="20"/>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w:t>
            </w:r>
            <w:proofErr w:type="spellEnd"/>
            <w:r w:rsidRPr="007F75E1">
              <w:rPr>
                <w:rFonts w:ascii="Arial" w:hAnsi="Arial" w:cs="Arial"/>
                <w:sz w:val="20"/>
                <w:szCs w:val="20"/>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insp_result_invalid</w:t>
            </w:r>
            <w:proofErr w:type="spellEnd"/>
            <w:r w:rsidRPr="007F75E1">
              <w:rPr>
                <w:rFonts w:ascii="Arial" w:hAnsi="Arial" w:cs="Arial"/>
                <w:sz w:val="20"/>
                <w:szCs w:val="20"/>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w:t>
            </w:r>
            <w:proofErr w:type="gramStart"/>
            <w:r w:rsidRPr="0048090D">
              <w:rPr>
                <w:rFonts w:ascii="Arial" w:hAnsi="Arial" w:cs="Arial"/>
                <w:sz w:val="20"/>
                <w:szCs w:val="20"/>
              </w:rPr>
              <w:t>plumbness}{</w:t>
            </w:r>
            <w:proofErr w:type="gramEnd"/>
            <w:r w:rsidRPr="0048090D">
              <w:rPr>
                <w:rFonts w:ascii="Arial" w:hAnsi="Arial" w:cs="Arial"/>
                <w:sz w:val="20"/>
                <w:szCs w:val="20"/>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w:t>
            </w:r>
            <w:proofErr w:type="spellStart"/>
            <w:r w:rsidRPr="0048090D">
              <w:rPr>
                <w:rFonts w:ascii="Arial" w:hAnsi="Arial" w:cs="Arial"/>
                <w:sz w:val="20"/>
                <w:szCs w:val="20"/>
              </w:rPr>
              <w:t>bottom_tank</w:t>
            </w:r>
            <w:proofErr w:type="spellEnd"/>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top_tank</w:t>
            </w:r>
            <w:proofErr w:type="spellEnd"/>
            <w:r w:rsidRPr="0048090D">
              <w:rPr>
                <w:rFonts w:ascii="Arial" w:hAnsi="Arial" w:cs="Arial"/>
                <w:sz w:val="20"/>
                <w:szCs w:val="20"/>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in_out_ward</w:t>
            </w:r>
            <w:proofErr w:type="spellEnd"/>
            <w:r w:rsidRPr="0048090D">
              <w:rPr>
                <w:rFonts w:ascii="Arial" w:hAnsi="Arial" w:cs="Arial"/>
                <w:sz w:val="20"/>
                <w:szCs w:val="20"/>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s_value</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st</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RTbc</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_RTbc</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RTip</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_RTip</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_Or</w:t>
            </w:r>
            <w:proofErr w:type="spellEnd"/>
            <w:r w:rsidRPr="0048090D">
              <w:rPr>
                <w:rFonts w:ascii="Arial" w:hAnsi="Arial" w:cs="Arial"/>
                <w:sz w:val="20"/>
                <w:szCs w:val="20"/>
              </w:rPr>
              <w:t>}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StPr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w:t>
            </w:r>
            <w:r w:rsidR="009A43FF" w:rsidRPr="0048090D">
              <w:rPr>
                <w:rFonts w:ascii="Arial" w:hAnsi="Arial" w:cs="Arial"/>
                <w:sz w:val="20"/>
                <w:szCs w:val="20"/>
              </w:rPr>
              <w:t>r</w:t>
            </w:r>
            <w:proofErr w:type="spellEnd"/>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Upr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_age_of_tank</w:t>
            </w:r>
            <w:proofErr w:type="spellEnd"/>
            <w:r w:rsidRPr="0048090D">
              <w:rPr>
                <w:rFonts w:ascii="Arial" w:hAnsi="Arial" w:cs="Arial"/>
                <w:sz w:val="20"/>
                <w:szCs w:val="20"/>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_MRT</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min</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_result</w:t>
            </w:r>
            <w:proofErr w:type="spellEnd"/>
            <w:r w:rsidRPr="0048090D">
              <w:rPr>
                <w:rFonts w:ascii="Arial" w:hAnsi="Arial" w:cs="Arial"/>
                <w:sz w:val="20"/>
                <w:szCs w:val="20"/>
              </w:rPr>
              <w: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_recommedation</w:t>
            </w:r>
            <w:proofErr w:type="spellEnd"/>
            <w:r w:rsidRPr="0048090D">
              <w:rPr>
                <w:rFonts w:ascii="Arial" w:hAnsi="Arial" w:cs="Arial"/>
                <w:sz w:val="20"/>
                <w:szCs w:val="20"/>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Annular</w:t>
            </w:r>
          </w:p>
          <w:p w14:paraId="20781C3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Plate No</w:t>
            </w:r>
          </w:p>
        </w:tc>
        <w:tc>
          <w:tcPr>
            <w:tcW w:w="1134" w:type="dxa"/>
            <w:tcBorders>
              <w:bottom w:val="single" w:sz="4" w:space="0" w:color="auto"/>
            </w:tcBorders>
            <w:shd w:val="clear" w:color="auto" w:fill="E6E6E6"/>
            <w:vAlign w:val="center"/>
          </w:tcPr>
          <w:p w14:paraId="3ADE5E9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7FE08C9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647D873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3EB9429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643C6D20"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7D334F6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3479CFAD"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020EE9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4A6E39C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01AA503F"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7DD53E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78B974C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7DC1BA6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0C18DF9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3146FD3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CD30DE" w:rsidRDefault="00CD30DE" w:rsidP="00670877">
            <w:pPr>
              <w:jc w:val="center"/>
              <w:rPr>
                <w:rFonts w:ascii="Arial" w:hAnsi="Arial" w:cs="Arial"/>
                <w:bCs/>
                <w:sz w:val="20"/>
                <w:szCs w:val="20"/>
              </w:rPr>
            </w:pPr>
            <w:r w:rsidRPr="00CD30DE">
              <w:rPr>
                <w:rFonts w:ascii="Arial" w:hAnsi="Arial" w:cs="Arial"/>
                <w:sz w:val="20"/>
                <w:szCs w:val="20"/>
              </w:rPr>
              <w:t>{#annular_</w:t>
            </w:r>
            <w:proofErr w:type="gramStart"/>
            <w:r w:rsidRPr="00CD30DE">
              <w:rPr>
                <w:rFonts w:ascii="Arial" w:hAnsi="Arial" w:cs="Arial"/>
                <w:sz w:val="20"/>
                <w:szCs w:val="20"/>
              </w:rPr>
              <w:t>thk}{</w:t>
            </w:r>
            <w:proofErr w:type="gramEnd"/>
            <w:r w:rsidRPr="00CD30DE">
              <w:rPr>
                <w:rFonts w:ascii="Arial" w:hAnsi="Arial" w:cs="Arial"/>
                <w:sz w:val="20"/>
                <w:szCs w:val="20"/>
              </w:rPr>
              <w:t>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tp_name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r w:rsidRPr="00CD30DE">
              <w:rPr>
                <w:rFonts w:ascii="Arial" w:hAnsi="Arial" w:cs="Arial"/>
                <w:sz w:val="20"/>
                <w:szCs w:val="20"/>
              </w:rPr>
              <w:t>}{/</w:t>
            </w:r>
            <w:proofErr w:type="spellStart"/>
            <w:r w:rsidRPr="00CD30DE">
              <w:rPr>
                <w:rFonts w:ascii="Arial" w:hAnsi="Arial" w:cs="Arial"/>
                <w:sz w:val="20"/>
                <w:szCs w:val="20"/>
              </w:rPr>
              <w:t>annular_thk</w:t>
            </w:r>
            <w:proofErr w:type="spellEnd"/>
            <w:r w:rsidRPr="00CD30DE">
              <w:rPr>
                <w:rFonts w:ascii="Arial" w:hAnsi="Arial" w:cs="Arial"/>
                <w:sz w:val="20"/>
                <w:szCs w:val="20"/>
              </w:rPr>
              <w:t>}</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Pr>
                <w:rFonts w:ascii="Arial" w:hAnsi="Arial" w:cs="Arial"/>
                <w:b/>
                <w:bCs/>
                <w:sz w:val="20"/>
                <w:szCs w:val="20"/>
              </w:rPr>
              <w:lastRenderedPageBreak/>
              <w:t>Annular</w:t>
            </w:r>
            <w:r w:rsidRPr="0048090D">
              <w:rPr>
                <w:rFonts w:ascii="Arial" w:hAnsi="Arial" w:cs="Arial"/>
                <w:b/>
                <w:bCs/>
                <w:sz w:val="20"/>
                <w:szCs w:val="20"/>
              </w:rPr>
              <w:t xml:space="preserve">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RTbc</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_RTbc</w:t>
            </w:r>
            <w:proofErr w:type="spellEnd"/>
            <w:r w:rsidRPr="0048090D">
              <w:rPr>
                <w:rFonts w:ascii="Arial" w:hAnsi="Arial" w:cs="Arial"/>
                <w:sz w:val="20"/>
                <w:szCs w:val="20"/>
              </w:rPr>
              <w:t>}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RTip</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_RTip</w:t>
            </w:r>
            <w:proofErr w:type="spellEnd"/>
            <w:r w:rsidRPr="0048090D">
              <w:rPr>
                <w:rFonts w:ascii="Arial" w:hAnsi="Arial" w:cs="Arial"/>
                <w:sz w:val="20"/>
                <w:szCs w:val="20"/>
              </w:rPr>
              <w:t>}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_Or</w:t>
            </w:r>
            <w:proofErr w:type="spellEnd"/>
            <w:r w:rsidRPr="0048090D">
              <w:rPr>
                <w:rFonts w:ascii="Arial" w:hAnsi="Arial" w:cs="Arial"/>
                <w:sz w:val="20"/>
                <w:szCs w:val="20"/>
              </w:rPr>
              <w:t>}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StPr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Upr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_age_of_tank</w:t>
            </w:r>
            <w:proofErr w:type="spellEnd"/>
            <w:r w:rsidRPr="0048090D">
              <w:rPr>
                <w:rFonts w:ascii="Arial" w:hAnsi="Arial" w:cs="Arial"/>
                <w:sz w:val="20"/>
                <w:szCs w:val="20"/>
              </w:rPr>
              <w:t>}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_MRT</w:t>
            </w:r>
            <w:proofErr w:type="spellEnd"/>
            <w:r w:rsidRPr="0048090D">
              <w:rPr>
                <w:rFonts w:ascii="Arial" w:hAnsi="Arial" w:cs="Arial"/>
                <w:sz w:val="20"/>
                <w:szCs w:val="20"/>
              </w:rPr>
              <w: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48090D" w:rsidRDefault="00CD30DE" w:rsidP="00670877">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_tmin</w:t>
            </w:r>
            <w:proofErr w:type="spellEnd"/>
            <w:r w:rsidRPr="0048090D">
              <w:rPr>
                <w:rFonts w:ascii="Arial" w:hAnsi="Arial" w:cs="Arial"/>
                <w:sz w:val="20"/>
                <w:szCs w:val="20"/>
              </w:rPr>
              <w:t>}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_result</w:t>
            </w:r>
            <w:proofErr w:type="spellEnd"/>
            <w:r w:rsidRPr="0048090D">
              <w:rPr>
                <w:rFonts w:ascii="Arial" w:hAnsi="Arial" w:cs="Arial"/>
                <w:sz w:val="20"/>
                <w:szCs w:val="20"/>
              </w:rPr>
              <w: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_recommedation</w:t>
            </w:r>
            <w:proofErr w:type="spellEnd"/>
            <w:r w:rsidRPr="0048090D">
              <w:rPr>
                <w:rFonts w:ascii="Arial" w:hAnsi="Arial" w:cs="Arial"/>
                <w:sz w:val="20"/>
                <w:szCs w:val="20"/>
              </w:rPr>
              <w:t>}</w:t>
            </w:r>
          </w:p>
        </w:tc>
      </w:tr>
    </w:tbl>
    <w:p w14:paraId="42E8D747" w14:textId="77777777" w:rsidR="00CD30DE" w:rsidRDefault="00CD30DE" w:rsidP="00CD30DE">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466C9C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0657121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55CA99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5EE294B1"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356F22C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03968D15"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1AF0F1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73E36CA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76CC277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11122618"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004C2CEE"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0564618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76FD70C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73DD2FA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38AD715E" w:rsidR="00CD30DE" w:rsidRPr="00CD30DE" w:rsidRDefault="00CD30DE" w:rsidP="00670877">
            <w:pPr>
              <w:jc w:val="center"/>
              <w:rPr>
                <w:rFonts w:ascii="Arial" w:hAnsi="Arial" w:cs="Arial"/>
                <w:sz w:val="20"/>
                <w:szCs w:val="20"/>
              </w:rPr>
            </w:pPr>
            <w:r w:rsidRPr="00CD30DE">
              <w:rPr>
                <w:rFonts w:ascii="Arial" w:hAnsi="Arial" w:cs="Arial"/>
                <w:sz w:val="20"/>
                <w:szCs w:val="20"/>
              </w:rPr>
              <w:t>{#projection_</w:t>
            </w:r>
            <w:proofErr w:type="gramStart"/>
            <w:r w:rsidRPr="00CD30DE">
              <w:rPr>
                <w:rFonts w:ascii="Arial" w:hAnsi="Arial" w:cs="Arial"/>
                <w:sz w:val="20"/>
                <w:szCs w:val="20"/>
              </w:rPr>
              <w:t>thk}{</w:t>
            </w:r>
            <w:proofErr w:type="gramEnd"/>
            <w:r w:rsidRPr="00CD30DE">
              <w:rPr>
                <w:rFonts w:ascii="Arial" w:hAnsi="Arial" w:cs="Arial"/>
                <w:sz w:val="20"/>
                <w:szCs w:val="20"/>
              </w:rPr>
              <w:t>t</w:t>
            </w:r>
            <w:r w:rsidR="00B719F9">
              <w:rPr>
                <w:rFonts w:ascii="Arial" w:hAnsi="Arial" w:cs="Arial"/>
                <w:sz w:val="20"/>
                <w:szCs w:val="20"/>
              </w:rPr>
              <w:t>p_</w:t>
            </w:r>
            <w:r w:rsidRPr="00CD30DE">
              <w:rPr>
                <w:rFonts w:ascii="Arial" w:hAnsi="Arial" w:cs="Arial"/>
                <w:sz w:val="20"/>
                <w:szCs w:val="20"/>
              </w:rPr>
              <w:t>n</w:t>
            </w:r>
            <w:r w:rsidR="00B719F9">
              <w:rPr>
                <w:rFonts w:ascii="Arial" w:hAnsi="Arial" w:cs="Arial"/>
                <w:sz w:val="20"/>
                <w:szCs w:val="20"/>
              </w:rPr>
              <w:t>o</w:t>
            </w:r>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proofErr w:type="gramStart"/>
            <w:r w:rsidRPr="00CD30DE">
              <w:rPr>
                <w:rFonts w:ascii="Arial" w:hAnsi="Arial" w:cs="Arial"/>
                <w:sz w:val="20"/>
                <w:szCs w:val="20"/>
              </w:rPr>
              <w:t>}{</w:t>
            </w:r>
            <w:proofErr w:type="gramEnd"/>
            <w:r w:rsidRPr="00CD30DE">
              <w:rPr>
                <w:rFonts w:ascii="Arial" w:hAnsi="Arial" w:cs="Arial"/>
                <w:sz w:val="20"/>
                <w:szCs w:val="20"/>
              </w:rPr>
              <w:t xml:space="preserve">/ </w:t>
            </w:r>
            <w:proofErr w:type="spellStart"/>
            <w:r w:rsidRPr="00CD30DE">
              <w:rPr>
                <w:rFonts w:ascii="Arial" w:hAnsi="Arial" w:cs="Arial"/>
                <w:sz w:val="20"/>
                <w:szCs w:val="20"/>
              </w:rPr>
              <w:t>projection_thk</w:t>
            </w:r>
            <w:proofErr w:type="spellEnd"/>
            <w:r w:rsidRPr="00CD30DE">
              <w:rPr>
                <w:rFonts w:ascii="Arial" w:hAnsi="Arial" w:cs="Arial"/>
                <w:sz w:val="20"/>
                <w:szCs w:val="20"/>
              </w:rPr>
              <w:t>}</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lastRenderedPageBreak/>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F22750"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3D91F2EA"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2320CE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3C9845C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38B8E3C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2806AA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22BC31C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28CDA10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73A7D3F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87CD5E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3826A09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CEA7D2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0ACFBD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5E9A0F5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574A5C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5AC514C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7D1736F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7EA58A0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2FAE4EEC"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4D1675B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71AFFB3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744B31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7196371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2ACB613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bottom}{</w:t>
            </w:r>
            <w:proofErr w:type="gramEnd"/>
            <w:r w:rsidRPr="003A6280">
              <w:rPr>
                <w:rFonts w:ascii="Arial" w:hAnsi="Arial" w:cs="Arial"/>
                <w:sz w:val="20"/>
                <w:szCs w:val="20"/>
              </w:rPr>
              <w:t xml:space="preserve"> </w:t>
            </w:r>
            <w:proofErr w:type="spellStart"/>
            <w:r w:rsidRPr="003A6280">
              <w:rPr>
                <w:rFonts w:ascii="Arial" w:hAnsi="Arial" w:cs="Arial"/>
                <w:sz w:val="20"/>
                <w:szCs w:val="20"/>
              </w:rPr>
              <w:t>plate_no</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auto"/>
            </w:tcBorders>
            <w:vAlign w:val="center"/>
          </w:tcPr>
          <w:p w14:paraId="1CAF051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mfl_bottom</w:t>
            </w:r>
            <w:proofErr w:type="spellEnd"/>
            <w:r w:rsidRPr="003A6280">
              <w:rPr>
                <w:rFonts w:ascii="Arial" w:hAnsi="Arial" w:cs="Arial"/>
                <w:sz w:val="20"/>
                <w:szCs w:val="20"/>
              </w:rPr>
              <w:t>}</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71A83C6D"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5E23166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031F9AE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6E8570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1032D7A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0988E92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646661A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46BE0D2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40A78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20B6804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14644797"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661B21E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9EF8D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3606F7E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4460E7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4DD5458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9D8ACC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5869F1C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736CB60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2C8F415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ECAA5E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0F4BA6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643C61B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annular}{</w:t>
            </w:r>
            <w:proofErr w:type="gramEnd"/>
            <w:r w:rsidRPr="003A6280">
              <w:rPr>
                <w:rFonts w:ascii="Arial" w:hAnsi="Arial" w:cs="Arial"/>
                <w:sz w:val="20"/>
                <w:szCs w:val="20"/>
              </w:rPr>
              <w:t>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mfl_annular</w:t>
            </w:r>
            <w:proofErr w:type="spellEnd"/>
            <w:r w:rsidRPr="003A6280">
              <w:rPr>
                <w:rFonts w:ascii="Arial" w:hAnsi="Arial" w:cs="Arial"/>
                <w:sz w:val="20"/>
                <w:szCs w:val="20"/>
              </w:rPr>
              <w:t>}</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proofErr w:type="gram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gramEnd"/>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7"/>
      <w:footerReference w:type="default" r:id="rId18"/>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9CBEA" w14:textId="77777777" w:rsidR="00E56A6D" w:rsidRDefault="00E56A6D">
      <w:r>
        <w:separator/>
      </w:r>
    </w:p>
  </w:endnote>
  <w:endnote w:type="continuationSeparator" w:id="0">
    <w:p w14:paraId="4B120F9C" w14:textId="77777777" w:rsidR="00E56A6D" w:rsidRDefault="00E5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941F7" w14:textId="77777777" w:rsidR="00E56A6D" w:rsidRDefault="00E56A6D">
      <w:r>
        <w:separator/>
      </w:r>
    </w:p>
  </w:footnote>
  <w:footnote w:type="continuationSeparator" w:id="0">
    <w:p w14:paraId="6763706C" w14:textId="77777777" w:rsidR="00E56A6D" w:rsidRDefault="00E56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3E5391"/>
    <w:rsid w:val="0040202D"/>
    <w:rsid w:val="00403DE0"/>
    <w:rsid w:val="00405AB7"/>
    <w:rsid w:val="00416BB9"/>
    <w:rsid w:val="00422765"/>
    <w:rsid w:val="00430EAF"/>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3AE7"/>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665"/>
    <w:rsid w:val="00B14AA0"/>
    <w:rsid w:val="00B24D3C"/>
    <w:rsid w:val="00B46BE4"/>
    <w:rsid w:val="00B541A9"/>
    <w:rsid w:val="00B60808"/>
    <w:rsid w:val="00B621AC"/>
    <w:rsid w:val="00B641AE"/>
    <w:rsid w:val="00B719F9"/>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56A6D"/>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5.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31</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25387</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43</cp:revision>
  <cp:lastPrinted>2015-08-26T16:09:00Z</cp:lastPrinted>
  <dcterms:created xsi:type="dcterms:W3CDTF">2023-03-15T01:44:00Z</dcterms:created>
  <dcterms:modified xsi:type="dcterms:W3CDTF">2023-03-16T13:27:00Z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