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Blood-Brain Barrier Failure as a biomarker-guided manuscript path in traumatic brain injury</w:t>
      </w:r>
    </w:p>
    <w:p>
      <w:r>
        <w:rPr>
          <w:i/>
        </w:rPr>
        <w:t>Draft-first manuscript generated directly from the current Phase 8 evidence pack. Replace bracketed metadata placeholders manually and keep all claims bounded to the cited pack content.</w:t>
      </w:r>
    </w:p>
    <w:p>
      <w:pPr>
        <w:pStyle w:val="Heading1"/>
      </w:pPr>
      <w:r>
        <w:t>Title Page</w:t>
      </w:r>
    </w:p>
    <w:p>
      <w:pPr>
        <w:pStyle w:val="ListBullet"/>
      </w:pPr>
      <w:r>
        <w:t>Full title: [Confirm final journal-facing title]</w:t>
      </w:r>
    </w:p>
    <w:p>
      <w:pPr>
        <w:pStyle w:val="ListBullet"/>
      </w:pPr>
      <w:r>
        <w:t>Running title: [Needed]</w:t>
      </w:r>
    </w:p>
    <w:p>
      <w:pPr>
        <w:pStyle w:val="ListBullet"/>
      </w:pPr>
      <w:r>
        <w:t>Authors: [Needed]</w:t>
      </w:r>
    </w:p>
    <w:p>
      <w:pPr>
        <w:pStyle w:val="ListBullet"/>
      </w:pPr>
      <w:r>
        <w:t>Affiliations: [Needed]</w:t>
      </w:r>
    </w:p>
    <w:p>
      <w:pPr>
        <w:pStyle w:val="ListBullet"/>
      </w:pPr>
      <w:r>
        <w:t>Corresponding author: [Needed]</w:t>
      </w:r>
    </w:p>
    <w:p>
      <w:pPr>
        <w:pStyle w:val="Heading1"/>
      </w:pPr>
      <w:r>
        <w:t>Abstract</w:t>
      </w:r>
    </w:p>
    <w:p>
      <w:r>
        <w:t>This review synthesizes the current Phase 8 evidence pack around Blood-Brain Barrier Failure. The current thesis is: Track OCLN, CLDN5, TJP1, Cerebral blood flow to test whether OCLN is moving the expected lane biology. The evidence chain links Blood-Brain Barrier Failure to BBB permeability increase -&gt; peripheral immune infiltration, with downstream burden in Microglial Chronic Activation, Neurovascular Uncoupling. The translational readout spine centers on OCLN with expected readouts Barrier leakage, Ocln / cldn5 / tjp1 restoration, Cerebral blood flow, Downstream inflammatory spillover. The manuscript remains intentionally bounded: translation maturity is bounded, and the leading boundary is Downstream lane is still seeded/provisional, so this transition should remain bounded.</w:t>
      </w:r>
    </w:p>
    <w:p>
      <w:pPr>
        <w:pStyle w:val="Heading1"/>
      </w:pPr>
      <w:r>
        <w:t>Keywords</w:t>
      </w:r>
    </w:p>
    <w:p>
      <w:pPr>
        <w:pStyle w:val="ListBullet"/>
      </w:pPr>
      <w:r>
        <w:t>Blood-Brain Barrier Failure, Blood-Brain Barrier Failure biomarker panel, OCLN, Barrier leakage, OCLN / CLDN5 / TJP1 restoration, Cerebral blood flow, Downstream inflammatory spillover, Microglial Chronic Activation</w:t>
      </w:r>
    </w:p>
    <w:p>
      <w:pPr>
        <w:pStyle w:val="Heading1"/>
      </w:pPr>
      <w:r>
        <w:t>Introduction</w:t>
      </w:r>
    </w:p>
    <w:p>
      <w:r>
        <w:t>Track OCLN, CLDN5, TJP1, Cerebral blood flow to test whether OCLN is moving the expected lane biology. This draft is anchored to Blood-Brain Barrier Failure because that lane provides the current biological entry point into the manuscript path.</w:t>
      </w:r>
    </w:p>
    <w:p>
      <w:r>
        <w:t>The linked rationale in the Phase 8 pack is straightforward: OCLN is the most evidence-dense tight-junction repair target in the current TBI corpus and best fits a barrier-module perturbation frame. The directional bridge into BBB permeability increase -&gt; peripheral immune infiltration gives the manuscript a mechanistic spine, while the linked Phase 3 and Phase 5 artifacts keep the story tied to downstream burden and cohort context rather than to generic TBI language.</w:t>
      </w:r>
    </w:p>
    <w:p>
      <w:pPr>
        <w:pStyle w:val="Heading1"/>
      </w:pPr>
      <w:r>
        <w:t>Review Scope and Evidence Assembly</w:t>
      </w:r>
    </w:p>
    <w:p>
      <w:r>
        <w:t>This manuscript is being packaged as a bounded evidence synthesis rather than as a new experimental report. The evidence base comes from the current Phase 1 to Phase 5 engine pack, linked PubMed-indexed source papers, explicit claim-to-PMID mapping, a contradiction register, and a bounded translational readout packet.</w:t>
      </w:r>
    </w:p>
    <w:p>
      <w:r>
        <w:t>The review logic is intentionally conservative: mechanistic and biomarker claims are carried forward only when they remain linked to the current evidence chain, and unresolved contradiction rows are retained in the manuscript as limitations or future-work boundaries rather than being smoothed away.</w:t>
      </w:r>
    </w:p>
    <w:p>
      <w:pPr>
        <w:pStyle w:val="Heading1"/>
      </w:pPr>
      <w:r>
        <w:t>Evidence Synthesis</w:t>
      </w:r>
    </w:p>
    <w:p>
      <w:pPr>
        <w:pStyle w:val="Heading2"/>
      </w:pPr>
      <w:r>
        <w:t>Candidate manuscript thesis</w:t>
      </w:r>
    </w:p>
    <w:p>
      <w:r>
        <w:t>Track OCLN, CLDN5, TJP1, Cerebral blood flow to test whether OCLN is moving the expected lane biology. (PMIDs: 41663365, 41673382, 41642456, 41649131)</w:t>
      </w:r>
    </w:p>
    <w:p>
      <w:r>
        <w:t>Drafting rule: Use affirmative language for the mechanism or pattern, while staying within the current artifact scope.</w:t>
      </w:r>
    </w:p>
    <w:p>
      <w:r>
        <w:t>Current contradiction notes: Barrier readouts can improve in tissue without reducing leakage or downstream inflammatory spillover | keep barrier-module claims tied to permeability outcomes, not junction markers alone.</w:t>
      </w:r>
    </w:p>
    <w:p>
      <w:pPr>
        <w:pStyle w:val="Heading2"/>
      </w:pPr>
      <w:r>
        <w:t>Blood-Brain Barrier Failure</w:t>
      </w:r>
    </w:p>
    <w:p>
      <w:r>
        <w:t>Vascular barrier disruption and neurovascular-unit failure across acute, subacute, and chronic TBI trajectories. (PMIDs: 41969524, 41663365, 41673382, 41642456)</w:t>
      </w:r>
    </w:p>
    <w:p>
      <w:r>
        <w:t>Drafting rule: Use affirmative language for the mechanism or pattern, while staying within the current artifact scope.</w:t>
      </w:r>
    </w:p>
    <w:p>
      <w:r>
        <w:t>Current evidence gaps: All three time buckets have usable support, but causal transitions still need explicit Phase 2 modeling.</w:t>
      </w:r>
    </w:p>
    <w:p>
      <w:pPr>
        <w:pStyle w:val="Heading2"/>
      </w:pPr>
      <w:r>
        <w:t>BBB permeability increase -&gt; peripheral immune infiltration</w:t>
      </w:r>
    </w:p>
    <w:p>
      <w:r>
        <w:t>Current TBI evidence supports a directional transition in which BBB permeability increase facilitates peripheral immune infiltration. (PMIDs: 41709060, 41740873, 41683989)</w:t>
      </w:r>
    </w:p>
    <w:p>
      <w:r>
        <w:t>Drafting rule: Use affirmative language for the mechanism or pattern, while staying within the current artifact scope.</w:t>
      </w:r>
    </w:p>
    <w:p>
      <w:r>
        <w:t>Current evidence gaps: Some supporting rows are abstract-only and should be weighted cautiously. | Downstream lane is still seeded/provisional, so this transition should remain bounded.</w:t>
      </w:r>
    </w:p>
    <w:p>
      <w:pPr>
        <w:pStyle w:val="Heading2"/>
      </w:pPr>
      <w:r>
        <w:t>Microglial Chronic Activation</w:t>
      </w:r>
    </w:p>
    <w:p>
      <w:r>
        <w:t>Chronic microglial activation is a plausible sustaining object that keeps acute injury biology alive long enough to drive later degeneration. (PMIDs: 41039850, 41103638, 41135688, 41157272)</w:t>
      </w:r>
    </w:p>
    <w:p>
      <w:r>
        <w:t>Drafting rule: Use affirmative language for the mechanism or pattern, while staying within the current artifact scope.</w:t>
      </w:r>
    </w:p>
    <w:p>
      <w:r>
        <w:t>Current evidence gaps: Some supporting rows are abstract-only and should be weighted cautiously.</w:t>
      </w:r>
    </w:p>
    <w:p>
      <w:pPr>
        <w:pStyle w:val="Heading2"/>
      </w:pPr>
      <w:r>
        <w:t>Neurovascular Uncoupling</w:t>
      </w:r>
    </w:p>
    <w:p>
      <w:r>
        <w:t>Neurovascular uncoupling is a candidate systems-level object that could connect vascular leak, impaired clearance, and later network fragility. (PMIDs: 41039850, 41079361, 41103638, 41173520)</w:t>
      </w:r>
    </w:p>
    <w:p>
      <w:r>
        <w:t>Drafting rule: Use cautious, hypothesis-oriented wording and explicitly note boundedness.</w:t>
      </w:r>
    </w:p>
    <w:p>
      <w:r>
        <w:t>Current evidence gaps: Object still needs denser direct support before it should be treated as hardened. | Object remains seeded because parent coverage or direct evidence is still incomplete. | Some supporting rows are abstract-only and should be weighted cautiously.</w:t>
      </w:r>
    </w:p>
    <w:p>
      <w:pPr>
        <w:pStyle w:val="Heading2"/>
      </w:pPr>
      <w:r>
        <w:t>Blood-Brain Barrier Failure</w:t>
      </w:r>
    </w:p>
    <w:p>
      <w:r>
        <w:t>Tight-junction repair and barrier stabilization before inflammatory spillover compounds the injury. (PMIDs: 41663365, 41673382, 41642456, 41649131)</w:t>
      </w:r>
    </w:p>
    <w:p>
      <w:r>
        <w:t>Drafting rule: Use supported mechanistic language, but keep translational claims bounded and non-clinical.</w:t>
      </w:r>
    </w:p>
    <w:p>
      <w:r>
        <w:t>Current contradiction notes: Barrier readouts can improve in tissue without reducing leakage or downstream inflammatory spillover | keep barrier-module claims tied to permeability outcomes, not junction markers alone. | no direct compound or trial attachment surfaced in this build</w:t>
      </w:r>
    </w:p>
    <w:p>
      <w:pPr>
        <w:pStyle w:val="Heading2"/>
      </w:pPr>
      <w:r>
        <w:t>Acute Mild Biomarker / Imaging Bridge</w:t>
      </w:r>
    </w:p>
    <w:p>
      <w:r>
        <w:t>This is the best early endotype packet for not treating all concussive or mild injury as one disease in the first hours to days. (PMIDs: 41707328, 41737590, 41496386, 41173528)</w:t>
      </w:r>
    </w:p>
    <w:p>
      <w:r>
        <w:t>Drafting rule: Use cohort-language as suggestive context only, not as a locked endotype claim.</w:t>
      </w:r>
    </w:p>
    <w:p>
      <w:r>
        <w:t>Current contradiction notes: Acute biomarker spikes can reflect injury burden without resolving the dominant process, and imaging can remain subtle despite strong circulating markers.</w:t>
      </w:r>
    </w:p>
    <w:p>
      <w:r>
        <w:t>Current evidence gaps: Subacute conversion rules are still thin | the current packet is strongest at triage and early follow-up.</w:t>
      </w:r>
    </w:p>
    <w:p>
      <w:pPr>
        <w:pStyle w:val="Heading2"/>
      </w:pPr>
      <w:r>
        <w:t>Acute Severe Vascular-Dominant</w:t>
      </w:r>
    </w:p>
    <w:p>
      <w:r>
        <w:t>This is the cleanest current endotype for deciding whether barrier repair and vascular stabilization should outrank broader anti-inflammatory logic in acute severe TBI. (PMIDs: 41700282, 41725719, 41672813, 41653068)</w:t>
      </w:r>
    </w:p>
    <w:p>
      <w:r>
        <w:t>Drafting rule: Use affirmative language for the mechanism or pattern, while staying within the current artifact scope.</w:t>
      </w:r>
    </w:p>
    <w:p>
      <w:r>
        <w:t>Current contradiction notes: Severe acute cohorts can look inflammatory quickly, but that does not mean inflammation is the dominant upstream driver in the first window.</w:t>
      </w:r>
    </w:p>
    <w:p>
      <w:r>
        <w:t>Current evidence gaps: The current packet needs more direct chronic handoff logic from early vascular failure to later degeneration.</w:t>
      </w:r>
    </w:p>
    <w:p>
      <w:pPr>
        <w:pStyle w:val="Heading2"/>
      </w:pPr>
      <w:r>
        <w:t>Acute Blast Vascular / Inflammatory Mixed</w:t>
      </w:r>
    </w:p>
    <w:p>
      <w:r>
        <w:t>Blast cohorts are easy to lump into generic TBI groups, but they may represent the clearest case where mixed dominant-process labels are necessary. (PMIDs: 41809238, 41794317, 41596245, 41723947)</w:t>
      </w:r>
    </w:p>
    <w:p>
      <w:r>
        <w:t>Drafting rule: Use cohort-language as suggestive context only, not as a locked endotype claim.</w:t>
      </w:r>
    </w:p>
    <w:p>
      <w:r>
        <w:t>Current contradiction notes: Blast cohorts often mix repetitive exposure, endocrine injury, and vascular stress, so clean one-driver interpretations are likely to overstate certainty.</w:t>
      </w:r>
    </w:p>
    <w:p>
      <w:r>
        <w:t>Current evidence gaps: Cohort granularity is still thin, and the current packet needs better direct imaging anchors.</w:t>
      </w:r>
    </w:p>
    <w:p>
      <w:pPr>
        <w:pStyle w:val="Heading2"/>
      </w:pPr>
      <w:r>
        <w:t>Subacute Repetitive Inflammatory-Dominant</w:t>
      </w:r>
    </w:p>
    <w:p>
      <w:r>
        <w:t>This is the best current packet for distinguishing repetitive-TBI cohorts that may respond to inflammasome or glial-state perturbation before chronic tau biology hardens. (PMIDs: 41173520, 41446731, 41740873, 41740080)</w:t>
      </w:r>
    </w:p>
    <w:p>
      <w:r>
        <w:t>Drafting rule: Use affirmative language for the mechanism or pattern, while staying within the current artifact scope.</w:t>
      </w:r>
    </w:p>
    <w:p>
      <w:r>
        <w:t>Current contradiction notes: Repetitive cohorts can still carry unresolved vascular pressure, so an inflammatory label should stay bounded unless barrier readouts are also tracked.</w:t>
      </w:r>
    </w:p>
    <w:p>
      <w:r>
        <w:t>Current evidence gaps: The packet needs more direct cohort-level translation into chronic outcomes and transcriptomic stratifiers.</w:t>
      </w:r>
    </w:p>
    <w:p>
      <w:pPr>
        <w:pStyle w:val="Heading1"/>
      </w:pPr>
      <w:r>
        <w:t>Discussion</w:t>
      </w:r>
    </w:p>
    <w:p>
      <w:r>
        <w:t>This manuscript is currently targeted to Journal of Neurotrauma as a review because the current evidence pack already carries a named thesis, a linked Phase 1 to Phase 5 chain, and a draft readout spine built around Barrier leakage, Ocln / cldn5 / tjp1 restoration, Cerebral blood flow, Downstream inflammatory spillover.</w:t>
      </w:r>
    </w:p>
    <w:p>
      <w:r>
        <w:t>The draft should still remain bounded. Translation maturity is bounded, the next experimental move is Run an acute-to-subacute BBB repair packet around OCLN with Evans blue or gadolinium leakage, CLDN5/OCLN/TJP1 restoration, and a downstream inflammatory spillover panel, and the current top blocker is Downstream lane is still seeded/provisional, so this transition should remain bounded. These constraints should remain explicit rather than being smoothed away during prose cleanup.</w:t>
      </w:r>
    </w:p>
    <w:p>
      <w:r>
        <w:t>The cohort and endotype context currently in scope is Acute Mild Biomarker / Imaging Bridge, Acute Severe Vascular-Dominant, Acute Blast Vascular / Inflammatory Mixed, Subacute Repetitive Inflammatory-Dominant. Use that context to keep the narrative specific about where the manuscript path appears strongest and where it remains only provisional.</w:t>
      </w:r>
    </w:p>
    <w:p>
      <w:pPr>
        <w:pStyle w:val="Heading1"/>
      </w:pPr>
      <w:r>
        <w:t>Limitations</w:t>
      </w:r>
    </w:p>
    <w:p>
      <w:pPr>
        <w:pStyle w:val="ListBullet"/>
      </w:pPr>
      <w:r>
        <w:t>Barrier readouts can improve in tissue without reducing leakage or downstream inflammatory spillover</w:t>
      </w:r>
    </w:p>
    <w:p>
      <w:pPr>
        <w:pStyle w:val="ListBullet"/>
      </w:pPr>
      <w:r>
        <w:t>keep barrier-module claims tied to permeability outcomes, not junction markers alone.</w:t>
      </w:r>
    </w:p>
    <w:p>
      <w:pPr>
        <w:pStyle w:val="ListBullet"/>
      </w:pPr>
      <w:r>
        <w:t>All three time buckets have usable support, but causal transitions still need explicit Phase 2 modeling.</w:t>
      </w:r>
    </w:p>
    <w:p>
      <w:pPr>
        <w:pStyle w:val="ListBullet"/>
      </w:pPr>
      <w:r>
        <w:t>Promoted from existing atlas mechanism coverage: blood brain barrier disruption.</w:t>
      </w:r>
    </w:p>
    <w:p>
      <w:pPr>
        <w:pStyle w:val="ListBullet"/>
      </w:pPr>
      <w:r>
        <w:t>Some supporting rows are abstract-only and should be weighted cautiously.</w:t>
      </w:r>
    </w:p>
    <w:p>
      <w:pPr>
        <w:pStyle w:val="ListBullet"/>
      </w:pPr>
      <w:r>
        <w:t>Downstream lane is still seeded/provisional, so this transition should remain bounded.</w:t>
      </w:r>
    </w:p>
    <w:p>
      <w:pPr>
        <w:pStyle w:val="ListBullet"/>
      </w:pPr>
      <w:r>
        <w:t>Object still needs denser direct support before it should be treated as hardened.</w:t>
      </w:r>
    </w:p>
    <w:p>
      <w:pPr>
        <w:pStyle w:val="ListBullet"/>
      </w:pPr>
      <w:r>
        <w:t>Object remains seeded because parent coverage or direct evidence is still incomplete.</w:t>
      </w:r>
    </w:p>
    <w:p>
      <w:pPr>
        <w:pStyle w:val="ListBullet"/>
      </w:pPr>
      <w:r>
        <w:t>no direct compound or trial attachment surfaced in this build</w:t>
      </w:r>
    </w:p>
    <w:p>
      <w:pPr>
        <w:pStyle w:val="ListBullet"/>
      </w:pPr>
      <w:r>
        <w:t>Acute biomarker spikes can reflect injury burden without resolving the dominant process, and imaging can remain subtle despite strong circulating markers.</w:t>
      </w:r>
    </w:p>
    <w:p>
      <w:pPr>
        <w:pStyle w:val="Heading1"/>
      </w:pPr>
      <w:r>
        <w:t>Conclusion</w:t>
      </w:r>
    </w:p>
    <w:p>
      <w:r>
        <w:t>In its current form, this review supports a bounded manuscript centered on Blood-Brain Barrier Failure, with the strongest support concentrated in Blood-Brain Barrier Failure and the most important boundary still carried in the limitations around Downstream lane is still seeded/provisional, so this transition should remain bounded.</w:t>
      </w:r>
    </w:p>
    <w:p>
      <w:pPr>
        <w:pStyle w:val="Heading1"/>
      </w:pPr>
      <w:r>
        <w:t>Transparency, Rigor and Reproducibility Summary</w:t>
      </w:r>
    </w:p>
    <w:p>
      <w:pPr>
        <w:pStyle w:val="ListBullet"/>
      </w:pPr>
      <w:r>
        <w:t>This review was assembled from the linked Phase 1 through Phase 5 evidence chain and 52 cited source records in the current engine pack.</w:t>
      </w:r>
    </w:p>
    <w:p>
      <w:pPr>
        <w:pStyle w:val="ListBullet"/>
      </w:pPr>
      <w:r>
        <w:t>The synthesis stays anchored to Blood-Brain Barrier Failure and BBB permeability increase -&gt; peripheral immune infiltration, with downstream burden carried through Microglial Chronic Activation, Neurovascular Uncoupling.</w:t>
      </w:r>
    </w:p>
    <w:p>
      <w:pPr>
        <w:pStyle w:val="ListBullet"/>
      </w:pPr>
      <w:r>
        <w:t>Claims were retained only when they remained attached to explicit source support, and 18 contradiction or evidence-boundary item(s) are kept visible in Limitations rather than treated as resolved.</w:t>
      </w:r>
    </w:p>
    <w:p>
      <w:pPr>
        <w:pStyle w:val="ListBullet"/>
      </w:pPr>
      <w:r>
        <w:t>The translational packet remains intentionally bounded around OCLN; this manuscript does not claim intervention-ready efficacy and instead uses Phase 4 to prioritize readouts and future validation steps such as Run an acute-to-subacute BBB repair packet around OCLN with Evans blue or gadolinium leakage, CLDN5/OCLN/TJP1 restoration, and a downstream inflammatory spillover panel.</w:t>
      </w:r>
    </w:p>
    <w:p>
      <w:pPr>
        <w:pStyle w:val="ListBullet"/>
      </w:pPr>
      <w:r>
        <w:t>This review draft does not introduce a new prospective human-participant or animal experiment. Final author-approved metadata, funding, conflict, and repository details still need to be inserted before submission.</w:t>
      </w:r>
    </w:p>
    <w:p>
      <w:pPr>
        <w:pStyle w:val="Heading1"/>
      </w:pPr>
      <w:r>
        <w:t>Acknowledgements</w:t>
      </w:r>
    </w:p>
    <w:p>
      <w:r>
        <w:t>Acknowledgements will be finalized before submission. Add any non-author contributions, editorial assistance, or institutional support that must be disclosed.</w:t>
      </w:r>
    </w:p>
    <w:p>
      <w:pPr>
        <w:pStyle w:val="Heading1"/>
      </w:pPr>
      <w:r>
        <w:t>Author Contributions</w:t>
      </w:r>
    </w:p>
    <w:p>
      <w:r>
        <w:t>Author contributions will be finalized before submission. The final statement should assign roles for conceptualization, evidence curation, manuscript drafting, figure preparation, and supervision.</w:t>
      </w:r>
    </w:p>
    <w:p>
      <w:pPr>
        <w:pStyle w:val="Heading1"/>
      </w:pPr>
      <w:r>
        <w:t>Statements and Declarations</w:t>
      </w:r>
    </w:p>
    <w:p>
      <w:pPr>
        <w:pStyle w:val="Heading2"/>
      </w:pPr>
      <w:r>
        <w:t>Ethical Considerations</w:t>
      </w:r>
    </w:p>
    <w:p>
      <w:r>
        <w:t>This manuscript is currently structured as a review and evidence synthesis of published literature plus engine-generated evidence maps. It does not introduce a new prospective human-participant or animal experiment in its current form. If unpublished cohort data or new experimental results are added later, replace this statement with the correct approval language and identifiers.</w:t>
      </w:r>
    </w:p>
    <w:p>
      <w:pPr>
        <w:pStyle w:val="Heading2"/>
      </w:pPr>
      <w:r>
        <w:t>Consent to Participate</w:t>
      </w:r>
    </w:p>
    <w:p>
      <w:r>
        <w:t>Not applicable for the current review draft.</w:t>
      </w:r>
    </w:p>
    <w:p>
      <w:pPr>
        <w:pStyle w:val="Heading2"/>
      </w:pPr>
      <w:r>
        <w:t>Consent for Publication</w:t>
      </w:r>
    </w:p>
    <w:p>
      <w:r>
        <w:t>Not applicable for the current review draft because no new individual-level participant data are reported.</w:t>
      </w:r>
    </w:p>
    <w:p>
      <w:pPr>
        <w:pStyle w:val="Heading2"/>
      </w:pPr>
      <w:r>
        <w:t>Declaration of Conflicting Interest</w:t>
      </w:r>
    </w:p>
    <w:p>
      <w:r>
        <w:t>[Insert the final author-approved conflict statement here. If no conflicts exist, use the journal-preferred no-conflict wording.]</w:t>
      </w:r>
    </w:p>
    <w:p>
      <w:pPr>
        <w:pStyle w:val="Heading2"/>
      </w:pPr>
      <w:r>
        <w:t>Funding Statement</w:t>
      </w:r>
    </w:p>
    <w:p>
      <w:r>
        <w:t>[Insert the final funding statement here. If there was no external funding, say that explicitly.]</w:t>
      </w:r>
    </w:p>
    <w:p>
      <w:pPr>
        <w:pStyle w:val="Heading2"/>
      </w:pPr>
      <w:r>
        <w:t>Data Availability</w:t>
      </w:r>
    </w:p>
    <w:p>
      <w:r>
        <w:t>This review synthesizes published studies and engine-generated evidence maps. The current evidence bundle lists supporting PMIDs, contradiction registers, figure plans, and source-artifact manifests in the companion pack. Insert the final repository link, DOI, or access statement that should appear in the submitted manuscript.</w:t>
      </w:r>
    </w:p>
    <w:p>
      <w:pPr>
        <w:pStyle w:val="Heading1"/>
      </w:pPr>
      <w:r>
        <w:t>Figure and Table Plan</w:t>
      </w:r>
    </w:p>
    <w:p>
      <w:pPr>
        <w:pStyle w:val="ListBullet"/>
      </w:pPr>
      <w:r>
        <w:t>Figure: Phase 1 to Phase 5 evidence chain for the manuscript path. Purpose: Show how the selected manuscript path moves from lane anchor to causal bridge to progression burden to translational packet to endotype context.</w:t>
      </w:r>
    </w:p>
    <w:p>
      <w:pPr>
        <w:pStyle w:val="ListBullet"/>
      </w:pPr>
      <w:r>
        <w:t>Figure: Biomarker and readout panel for the lead translational packet. Purpose: Show the candidate biomarker panel, expected readouts, time windows, and sample types.</w:t>
      </w:r>
    </w:p>
    <w:p>
      <w:pPr>
        <w:pStyle w:val="ListBullet"/>
      </w:pPr>
      <w:r>
        <w:t>Figure: Downstream burden and endotype context. Purpose: Show the progression objects (Microglial Chronic Activation, Neurovascular Uncoupling) and the linked endotypes (Acute Mild Biomarker / Imaging Bridge, Acute Severe Vascular-Dominant, Acute Blast Vascular / Inflammatory Mixed, Subacute Repetitive Inflammatory-Dominant).</w:t>
      </w:r>
    </w:p>
    <w:p>
      <w:pPr>
        <w:pStyle w:val="ListBullet"/>
      </w:pPr>
      <w:r>
        <w:t>Figure: Evidence boundaries and contradiction map. Purpose: Show the main contradictions, evidence gaps, and source-quality boundaries that still limit the paper.</w:t>
      </w:r>
    </w:p>
    <w:p>
      <w:pPr>
        <w:pStyle w:val="Heading1"/>
      </w:pPr>
      <w:r>
        <w:t>Missing Metadata and Packaging Items</w:t>
      </w:r>
    </w:p>
    <w:p>
      <w:pPr>
        <w:pStyle w:val="ListBullet"/>
      </w:pPr>
      <w:r>
        <w:t>Operator metadata items still needed: 12</w:t>
      </w:r>
    </w:p>
    <w:p>
      <w:pPr>
        <w:pStyle w:val="ListBullet"/>
      </w:pPr>
      <w:r>
        <w:t>Content or rigor gaps still open: 0</w:t>
      </w:r>
    </w:p>
    <w:p>
      <w:pPr>
        <w:pStyle w:val="ListBullet"/>
      </w:pPr>
      <w:r>
        <w:t>See the Missing Metadata and Items checklist in the generated draft folder for the detailed working list.</w:t>
      </w:r>
    </w:p>
    <w:p>
      <w:pPr>
        <w:pStyle w:val="Heading1"/>
      </w:pPr>
      <w:r>
        <w:t>References</w:t>
      </w:r>
    </w:p>
    <w:p>
      <w:r>
        <w:t>1. PMID:41663365.</w:t>
      </w:r>
    </w:p>
    <w:p>
      <w:r>
        <w:t>2. PMID:41673382.</w:t>
      </w:r>
    </w:p>
    <w:p>
      <w:r>
        <w:t>3. PMID:41642456.</w:t>
      </w:r>
    </w:p>
    <w:p>
      <w:r>
        <w:t>4. PMID:41649131.</w:t>
      </w:r>
    </w:p>
    <w:p>
      <w:r>
        <w:t>5. PMID:41039850.</w:t>
      </w:r>
    </w:p>
    <w:p>
      <w:r>
        <w:t>6. PMID:41465583.</w:t>
      </w:r>
    </w:p>
    <w:p>
      <w:r>
        <w:t>7. Explainable machine learning reveals multifactorial drivers of early intracranial hematoma progression in traumatic brain injury: development of a SHAP-guided SVM nomogram. PMID:41725719.</w:t>
      </w:r>
    </w:p>
    <w:p>
      <w:r>
        <w:t>8. PMID:41153827.</w:t>
      </w:r>
    </w:p>
    <w:p>
      <w:r>
        <w:t>9. PMID:41532955.</w:t>
      </w:r>
    </w:p>
    <w:p>
      <w:r>
        <w:t>10. PMID:41709060.</w:t>
      </w:r>
    </w:p>
    <w:p>
      <w:r>
        <w:t>11. PMID:41752185.</w:t>
      </w:r>
    </w:p>
    <w:p>
      <w:r>
        <w:t>12. PMID:41622772.</w:t>
      </w:r>
    </w:p>
    <w:p>
      <w:r>
        <w:t>13. PMID:41751210.</w:t>
      </w:r>
    </w:p>
    <w:p>
      <w:r>
        <w:t>14. Peripheral macrophages and T-cells accumulate in the degenerating optic tract after repetitive head impact. PMID:41740873.</w:t>
      </w:r>
    </w:p>
    <w:p>
      <w:r>
        <w:t>15. PMID:41683989.</w:t>
      </w:r>
    </w:p>
    <w:p>
      <w:r>
        <w:t>16. PMID:41103638.</w:t>
      </w:r>
    </w:p>
    <w:p>
      <w:r>
        <w:t>17. PMID:41135688.</w:t>
      </w:r>
    </w:p>
    <w:p>
      <w:r>
        <w:t>18. PMID:41157272.</w:t>
      </w:r>
    </w:p>
    <w:p>
      <w:r>
        <w:t>19. A Modified Repetitive Closed Head Injury Model Inducing Persistent Neuroinflammation and Functional Deficits Without Extensive Cortical Tissue Destruction. PMID:41173520.</w:t>
      </w:r>
    </w:p>
    <w:p>
      <w:r>
        <w:t>20. PMID:41197779.</w:t>
      </w:r>
    </w:p>
    <w:p>
      <w:r>
        <w:t>21. PMID:41327381.</w:t>
      </w:r>
    </w:p>
    <w:p>
      <w:r>
        <w:t>22. MRI-DTI contributes to evaluating diffuse neural injury following repetitive mild traumatic brain injury. PMID:41446731.</w:t>
      </w:r>
    </w:p>
    <w:p>
      <w:r>
        <w:t>23. PMID:41079361.</w:t>
      </w:r>
    </w:p>
    <w:p>
      <w:r>
        <w:t>24. PMID:41177833.</w:t>
      </w:r>
    </w:p>
    <w:p>
      <w:r>
        <w:t>25. PMID:41183617.</w:t>
      </w:r>
    </w:p>
    <w:p>
      <w:r>
        <w:t>26. PMID:41267966.</w:t>
      </w:r>
    </w:p>
    <w:p>
      <w:r>
        <w:t>27. PMID:41328339.</w:t>
      </w:r>
    </w:p>
    <w:p>
      <w:r>
        <w:t>28. PMID:41969524.</w:t>
      </w:r>
    </w:p>
    <w:p>
      <w:r>
        <w:t>29. PMID:41954515.</w:t>
      </w:r>
    </w:p>
    <w:p>
      <w:r>
        <w:t>30. PMID:41994141.</w:t>
      </w:r>
    </w:p>
    <w:p>
      <w:r>
        <w:t>31. PMID:41973273.</w:t>
      </w:r>
    </w:p>
    <w:p>
      <w:r>
        <w:t>32. PMID:41934291.</w:t>
      </w:r>
    </w:p>
    <w:p>
      <w:r>
        <w:t>33. Use of plasma-based brain biomarkers in the emergency department to rule out the need for unnecessary head CT imaging in acute mild traumatic brain injury patients. PMID:41707328.</w:t>
      </w:r>
    </w:p>
    <w:p>
      <w:r>
        <w:t>34. Mapping the acute trajectory of sport-related concussion outcomes across symptoms, cognition, and blood biomarkers. PMID:41737590.</w:t>
      </w:r>
    </w:p>
    <w:p>
      <w:r>
        <w:t>35. Association of acute blood biomarkers with diffusion tensor imaging and outcome in patients with traumatic brain injury presenting with GCS of 13-15. PMID:41496386.</w:t>
      </w:r>
    </w:p>
    <w:p>
      <w:r>
        <w:t>36. Traumatic Microbleeds in Mild Traumatic Brain Injury: Stability, Distribution, and Association with Other Injuries. PMID:41173528.</w:t>
      </w:r>
    </w:p>
    <w:p>
      <w:r>
        <w:t>37. Clinical utility of diffusion tensor imaging in sport-related concussion: a systematic review. PMID:41126936.</w:t>
      </w:r>
    </w:p>
    <w:p>
      <w:r>
        <w:t>38. Characterization and Prognostic Factors of Severe Pediatric Traumatic Brain Injury. PMID:41700282.</w:t>
      </w:r>
    </w:p>
    <w:p>
      <w:r>
        <w:t>39. Neuroworsening from a normal Glasgow Coma Scale Motor Score in the emergency department is an early predictor of neurosurgical intervention, hospital outcomes, and longitudinal disability in traumatic brain injury: A TRACK-TBI Study. PMID:41672813.</w:t>
      </w:r>
    </w:p>
    <w:p>
      <w:r>
        <w:t>40. Prognostic ability of salivary S100B in predicting unfavorable outcomes in patients with moderate and severe traumatic brain injury. PMID:41653068.</w:t>
      </w:r>
    </w:p>
    <w:p>
      <w:r>
        <w:t>41. Aptamer-based proteomics in pediatric patients with severe traumatic brain injury: a pilot study. PMID:41714686.</w:t>
      </w:r>
    </w:p>
    <w:p>
      <w:r>
        <w:t>42. Epidemiology, Clinical Profiling, Management, and Functional Outcome in Moderate-to-Severe Traumatic Brain Injury in Children: A Single-center Experience. PMID:41731737.</w:t>
      </w:r>
    </w:p>
    <w:p>
      <w:r>
        <w:t>43. Moderate-severe traumatic brain injury disrupts core mechanisms of online language processing and use. PMID:41722498.</w:t>
      </w:r>
    </w:p>
    <w:p>
      <w:r>
        <w:t>44. Predicting Return Home After Moderate-to-Severe Traumatic Brain Injury. PMID:41604614.</w:t>
      </w:r>
    </w:p>
    <w:p>
      <w:r>
        <w:t>45. One is not like the other: Examining the neural response to repetitive low-level blast exposure in experienced military personnel. doi:10.1016/j.ynirp.2026.100335. PMID:41809238.</w:t>
      </w:r>
    </w:p>
    <w:p>
      <w:r>
        <w:t>46. Identification of immune cell subsets involved in retinal ganglion cell damage following blast exposure. PMID:41794317.</w:t>
      </w:r>
    </w:p>
    <w:p>
      <w:r>
        <w:t>47. Integrated Blood Biomarker and Neurobehavioural Signatures of Latent Neuroinjury in Experienced Military Breachers Exposed to Repetitive Low-Intensity Blast. PMID:41596245.</w:t>
      </w:r>
    </w:p>
    <w:p>
      <w:r>
        <w:t>48. Pituitary hormone abnormalities following military-related traumatic brain injuries. PMID:41723947.</w:t>
      </w:r>
    </w:p>
    <w:p>
      <w:r>
        <w:t>49. Inflammation, Limbic White Matter Microstructure, and Clinical Symptoms in Retired American Football Players With Repetitive Head Impacts. PMID:41740080.</w:t>
      </w:r>
    </w:p>
    <w:p>
      <w:r>
        <w:t>50. PERK Deficiency Amplifies Molecular, Structural, and Network Vulnerability to Repetitive Mild Traumatic Brain Injury. PMID:41847037.</w:t>
      </w:r>
    </w:p>
    <w:p>
      <w:r>
        <w:t>51. Repetitive mild traumatic brain injury with the closed-head impact model of engineered rotational acceleration (CHIMERA) promotes tau pathology in tau transgenic mice and its propagation in brains injected with tau fibrils. PMID:41508043.</w:t>
      </w:r>
    </w:p>
    <w:p>
      <w:r>
        <w:t>52. Understanding the Neural Connectivity Changes of Repetitive Head Impacts in Youth Football Players: A Cross-Sectional MEG Analysis. PMID:41709584.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