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Mitochondrial / Bioenergetic Collapse as a bounded translational target in traumatic brain injury</w:t>
      </w:r>
    </w:p>
    <w:p>
      <w:r>
        <w:rPr>
          <w:i/>
        </w:rPr>
        <w:t>Draft-first manuscript generated directly from the current Phase 8 evidence pack. Replace bracketed metadata placeholders manually and keep all claims bounded to the cited pack content.</w:t>
      </w:r>
    </w:p>
    <w:p>
      <w:pPr>
        <w:pStyle w:val="Heading1"/>
      </w:pPr>
      <w:r>
        <w:t>Title Page</w:t>
      </w:r>
    </w:p>
    <w:p>
      <w:pPr>
        <w:pStyle w:val="ListBullet"/>
      </w:pPr>
      <w:r>
        <w:t>Full title: [Confirm final journal-facing title]</w:t>
      </w:r>
    </w:p>
    <w:p>
      <w:pPr>
        <w:pStyle w:val="ListBullet"/>
      </w:pPr>
      <w:r>
        <w:t>Running title: [Needed]</w:t>
      </w:r>
    </w:p>
    <w:p>
      <w:pPr>
        <w:pStyle w:val="ListBullet"/>
      </w:pPr>
      <w:r>
        <w:t>Authors: [Needed]</w:t>
      </w:r>
    </w:p>
    <w:p>
      <w:pPr>
        <w:pStyle w:val="ListBullet"/>
      </w:pPr>
      <w:r>
        <w:t>Affiliations: [Needed]</w:t>
      </w:r>
    </w:p>
    <w:p>
      <w:pPr>
        <w:pStyle w:val="ListBullet"/>
      </w:pPr>
      <w:r>
        <w:t>Corresponding author: [Needed]</w:t>
      </w:r>
    </w:p>
    <w:p>
      <w:pPr>
        <w:pStyle w:val="Heading1"/>
      </w:pPr>
      <w:r>
        <w:t>Abstract</w:t>
      </w:r>
    </w:p>
    <w:p>
      <w:r>
        <w:t>This review synthesizes the current Phase 8 evidence pack around Mitochondrial / Bioenergetic Collapse. The current thesis is: Use a PRKN-first perturbation packet because Parkin overexpression is already tied in this corpus to reduced mitochondrial dysfunction, apoptosis, and neurotoxicity, while CYBB remains the main challenger for ROS-driven inflammatory amplification. Current repo support: 3 full-text-like target-seed hit(s) and 3 exact target match(es). The evidence chain links Mitochondrial / Bioenergetic Collapse to Mitochondrial ROS -&gt; inflammasome activation, with downstream burden in Persistent Metabolic Dysfunction, Microglial Chronic Activation. The translational readout spine centers on PRKN with expected readouts Atp / bioenergetic rescue, Ros burden, Apoptosis pressure, Inflammasome spillover. The manuscript remains intentionally bounded: translation maturity is bounded, and the leading boundary is Downstream lane is still seeded/provisional, so this transition should remain bounded..</w:t>
      </w:r>
    </w:p>
    <w:p>
      <w:pPr>
        <w:pStyle w:val="Heading1"/>
      </w:pPr>
      <w:r>
        <w:t>Keywords</w:t>
      </w:r>
    </w:p>
    <w:p>
      <w:pPr>
        <w:pStyle w:val="ListBullet"/>
      </w:pPr>
      <w:r>
        <w:t>Mitochondrial / Bioenergetic Collapse, Mitochondrial / Bioenergetic Collapse -&gt; PRKN, PRKN, ATP / bioenergetic rescue, ROS burden, Apoptosis pressure, Inflammasome spillover, Persistent Metabolic Dysfunction</w:t>
      </w:r>
    </w:p>
    <w:p>
      <w:pPr>
        <w:pStyle w:val="Heading1"/>
      </w:pPr>
      <w:r>
        <w:t>Introduction</w:t>
      </w:r>
    </w:p>
    <w:p>
      <w:r>
        <w:t>Use a PRKN-first perturbation packet because Parkin overexpression is already tied in this corpus to reduced mitochondrial dysfunction, apoptosis, and neurotoxicity, while CYBB remains the main challenger for ROS-driven inflammatory amplification. Current repo support: 3 full-text-like target-seed hit(s) and 3 exact target match(es). This draft is anchored to Mitochondrial / Bioenergetic Collapse because that lane provides the current biological entry point into the manuscript path.</w:t>
      </w:r>
    </w:p>
    <w:p>
      <w:r>
        <w:t>The linked rationale in the Phase 8 pack is straightforward: PRKN is the cleanest current TBI-core mitochondrial perturbation target in the repo and already has a strong manual target packet. The directional bridge into Mitochondrial ROS -&gt; inflammasome activation gives the manuscript a mechanistic spine, while the linked Phase 3 and Phase 5 artifacts keep the story tied to downstream burden and cohort context rather than to generic TBI language.</w:t>
      </w:r>
    </w:p>
    <w:p>
      <w:pPr>
        <w:pStyle w:val="Heading1"/>
      </w:pPr>
      <w:r>
        <w:t>Review Scope and Evidence Assembly</w:t>
      </w:r>
    </w:p>
    <w:p>
      <w:r>
        <w:t>This manuscript is being packaged as a bounded evidence synthesis rather than as a new experimental report. The evidence base comes from the current Phase 1 to Phase 5 engine pack, linked PubMed-indexed source papers, explicit claim-to-PMID mapping, a contradiction register, and a bounded translational readout packet.</w:t>
      </w:r>
    </w:p>
    <w:p>
      <w:r>
        <w:t>The review logic is intentionally conservative: mechanistic and biomarker claims are carried forward only when they remain linked to the current evidence chain, and unresolved contradiction rows are retained in the manuscript as limitations or future-work boundaries rather than being smoothed away.</w:t>
      </w:r>
    </w:p>
    <w:p>
      <w:pPr>
        <w:pStyle w:val="Heading1"/>
      </w:pPr>
      <w:r>
        <w:t>Evidence Synthesis</w:t>
      </w:r>
    </w:p>
    <w:p>
      <w:pPr>
        <w:pStyle w:val="Heading2"/>
      </w:pPr>
      <w:r>
        <w:t>Candidate manuscript thesis</w:t>
      </w:r>
    </w:p>
    <w:p>
      <w:r>
        <w:t>Use a PRKN-first perturbation packet because Parkin overexpression is already tied in this corpus to reduced mitochondrial dysfunction, apoptosis, and neurotoxicity, while CYBB remains the main challenger for ROS-driven inflammatory amplification. Current repo support: 3 full-text-like target-seed hit(s) and 3 exact target match(es). (PMIDs: 41651694, 41480492, 41576094, 41764101)</w:t>
      </w:r>
    </w:p>
    <w:p>
      <w:r>
        <w:t>Drafting rule: Use affirmative language for the mechanism or pattern, while staying within the current artifact scope.</w:t>
      </w:r>
    </w:p>
    <w:p>
      <w:pPr>
        <w:pStyle w:val="Heading2"/>
      </w:pPr>
      <w:r>
        <w:t>Mitochondrial / Bioenergetic Collapse</w:t>
      </w:r>
    </w:p>
    <w:p>
      <w:r>
        <w:t>Metabolic failure, ROS stress, mitophagy disruption, and mitochondrial apoptosis signals across the TBI trajectory. (PMIDs: 41651694, 41926540, 41480492, 41576094)</w:t>
      </w:r>
    </w:p>
    <w:p>
      <w:r>
        <w:t>Drafting rule: Use cautious wording and avoid definitive causal or clinical claims.</w:t>
      </w:r>
    </w:p>
    <w:p>
      <w:r>
        <w:t>Current evidence gaps: Acute bucket is only provisionally supported. | Subacute bucket is only provisionally supported. | Chronic bucket is only provisionally supported.</w:t>
      </w:r>
    </w:p>
    <w:p>
      <w:pPr>
        <w:pStyle w:val="Heading2"/>
      </w:pPr>
      <w:r>
        <w:t>Mitochondrial ROS -&gt; inflammasome activation</w:t>
      </w:r>
    </w:p>
    <w:p>
      <w:r>
        <w:t>Current TBI evidence suggests that mitochondrial ROS or related mitochondrial stress signals amplify inflammasome activation. (PMIDs: 41480492, 41103638, 41709060)</w:t>
      </w:r>
    </w:p>
    <w:p>
      <w:r>
        <w:t>Drafting rule: Use cautious, hypothesis-oriented wording and explicitly note boundedness.</w:t>
      </w:r>
    </w:p>
    <w:p>
      <w:r>
        <w:t>Current evidence gaps: Transition still needs denser direct support before it should be treated as hardened. | Timing support is incomplete or only partially aligned with the expected transition window. | Downstream lane is still seeded/provisional, so this transition should remain bounded. | Upstream lane still needs stronger longitudinal support.</w:t>
      </w:r>
    </w:p>
    <w:p>
      <w:pPr>
        <w:pStyle w:val="Heading2"/>
      </w:pPr>
      <w:r>
        <w:t>Persistent Metabolic Dysfunction</w:t>
      </w:r>
    </w:p>
    <w:p>
      <w:r>
        <w:t>Persistent metabolic dysfunction is where intracellular stress may become self-sustaining instead of resolving after the acute phase. (PMIDs: 41069428, 41103638, 41110648, 41129987)</w:t>
      </w:r>
    </w:p>
    <w:p>
      <w:r>
        <w:t>Drafting rule: Use cautious, hypothesis-oriented wording and explicitly note boundedness.</w:t>
      </w:r>
    </w:p>
    <w:p>
      <w:r>
        <w:t>Current contradiction notes: Study found no significant correlation, contradicting the hypothesis of cumulative damage.</w:t>
      </w:r>
    </w:p>
    <w:p>
      <w:r>
        <w:t>Current evidence gaps: Object still needs denser direct support before it should be treated as hardened. | Some supporting rows are abstract-only and should be weighted cautiously. | Contradiction-bearing evidence is present and needs adjudication before stronger promotion.</w:t>
      </w:r>
    </w:p>
    <w:p>
      <w:pPr>
        <w:pStyle w:val="Heading2"/>
      </w:pPr>
      <w:r>
        <w:t>Microglial Chronic Activation</w:t>
      </w:r>
    </w:p>
    <w:p>
      <w:r>
        <w:t>Chronic microglial activation is a plausible sustaining object that keeps acute injury biology alive long enough to drive later degeneration. (PMIDs: 41039850, 41103638, 41135688, 41157272)</w:t>
      </w:r>
    </w:p>
    <w:p>
      <w:r>
        <w:t>Drafting rule: Use affirmative language for the mechanism or pattern, while staying within the current artifact scope.</w:t>
      </w:r>
    </w:p>
    <w:p>
      <w:r>
        <w:t>Current evidence gaps: Some supporting rows are abstract-only and should be weighted cautiously.</w:t>
      </w:r>
    </w:p>
    <w:p>
      <w:pPr>
        <w:pStyle w:val="Heading2"/>
      </w:pPr>
      <w:r>
        <w:t>Mitochondrial / Bioenergetic Collapse</w:t>
      </w:r>
    </w:p>
    <w:p>
      <w:r>
        <w:t>Rescue mitochondrial quality control early enough to blunt downstream inflammatory amplification. (PMIDs: 41651694, 41480492, 41576094, 41764101)</w:t>
      </w:r>
    </w:p>
    <w:p>
      <w:r>
        <w:t>Drafting rule: Use supported mechanistic language, but keep translational claims bounded and non-clinical.</w:t>
      </w:r>
    </w:p>
    <w:p>
      <w:r>
        <w:t>Current contradiction notes: Study found no significant correlation, contradicting the hypothesis of cumulative damage. | Oxidative-stress markers may improve without real ATP rescue or downstream inflammasome relief | keep this packet tied to both mitochondrial and inflammatory readouts.</w:t>
      </w:r>
    </w:p>
    <w:p>
      <w:pPr>
        <w:pStyle w:val="Heading2"/>
      </w:pPr>
      <w:r>
        <w:t>Acute Severe Vascular-Dominant</w:t>
      </w:r>
    </w:p>
    <w:p>
      <w:r>
        <w:t>This is the cleanest current endotype for deciding whether barrier repair and vascular stabilization should outrank broader anti-inflammatory logic in acute severe TBI. (PMIDs: 41700282, 41725719, 41672813, 41653068)</w:t>
      </w:r>
    </w:p>
    <w:p>
      <w:r>
        <w:t>Drafting rule: Use affirmative language for the mechanism or pattern, while staying within the current artifact scope.</w:t>
      </w:r>
    </w:p>
    <w:p>
      <w:r>
        <w:t>Current contradiction notes: Severe acute cohorts can look inflammatory quickly, but that does not mean inflammation is the dominant upstream driver in the first window.</w:t>
      </w:r>
    </w:p>
    <w:p>
      <w:r>
        <w:t>Current evidence gaps: The current packet needs more direct chronic handoff logic from early vascular failure to later degeneration.</w:t>
      </w:r>
    </w:p>
    <w:p>
      <w:pPr>
        <w:pStyle w:val="Heading2"/>
      </w:pPr>
      <w:r>
        <w:t>Chronic Mild Metabolic / White Matter Dominant</w:t>
      </w:r>
    </w:p>
    <w:p>
      <w:r>
        <w:t>This is the packet most likely to turn chronic mild TBI from a symptom bucket into a mechanistically distinct endotype with a different perturbation bias. (PMIDs: 41203427, 41622453, 41267966, 41496379)</w:t>
      </w:r>
    </w:p>
    <w:p>
      <w:r>
        <w:t>Drafting rule: Use cohort-language as suggestive context only, not as a locked endotype claim.</w:t>
      </w:r>
    </w:p>
    <w:p>
      <w:r>
        <w:t>Current contradiction notes: White matter and metabolic signals can remain abnormal without proving that metabolism is upstream | keep axonal and vascular alternatives visible.</w:t>
      </w:r>
    </w:p>
    <w:p>
      <w:r>
        <w:t>Current evidence gaps: The packet still needs stronger direct chronic metabolomic and transcriptomic cohort anchors.</w:t>
      </w:r>
    </w:p>
    <w:p>
      <w:pPr>
        <w:pStyle w:val="Heading2"/>
      </w:pPr>
      <w:r>
        <w:t>Chronic Severe Axonal / Network Decline</w:t>
      </w:r>
    </w:p>
    <w:p>
      <w:r>
        <w:t>This is the best packet for tying severe diffuse injury to the downstream cognitive and network phenotype rather than stopping at acute severity labels. (PMIDs: 41761716, 41722498, 41700705, 41761707)</w:t>
      </w:r>
    </w:p>
    <w:p>
      <w:r>
        <w:t>Drafting rule: Use cohort-language as suggestive context only, not as a locked endotype claim.</w:t>
      </w:r>
    </w:p>
    <w:p>
      <w:r>
        <w:t>Current contradiction notes: Chronic severe cohorts often mix irreversible structural burden with still-perturbable metabolic pressure, so a single-label interpretation will overstate certainty.</w:t>
      </w:r>
    </w:p>
    <w:p>
      <w:r>
        <w:t>Current evidence gaps: The current packet needs stronger biomarker plus longitudinal-function linkages.</w:t>
      </w:r>
    </w:p>
    <w:p>
      <w:pPr>
        <w:pStyle w:val="Heading1"/>
      </w:pPr>
      <w:r>
        <w:t>Discussion</w:t>
      </w:r>
    </w:p>
    <w:p>
      <w:r>
        <w:t>This manuscript is currently targeted to Journal of Neurotrauma as a review because the current evidence pack already carries a named thesis, a linked Phase 1 to Phase 5 chain, and a draft readout spine built around Atp / bioenergetic rescue, Ros burden, Apoptosis pressure, Inflammasome spillover.</w:t>
      </w:r>
    </w:p>
    <w:p>
      <w:r>
        <w:t>The draft should still remain bounded. Translation maturity is bounded, the next experimental move is Test a PRKN-centered rescue packet with ATP, ROS, apoptosis, and NLRP3 / IL-1beta readouts across the acute-to-subacute window., and the current top blocker is Downstream lane is still seeded/provisional, so this transition should remain bounded.. These constraints should remain explicit rather than being smoothed away during prose cleanup.</w:t>
      </w:r>
    </w:p>
    <w:p>
      <w:r>
        <w:t>The cohort and endotype context currently in scope is Acute Severe Vascular-Dominant, Chronic Mild Metabolic / White Matter Dominant, Chronic Severe Axonal / Network Decline. Use that context to keep the narrative specific about where the manuscript path appears strongest and where it remains only provisional.</w:t>
      </w:r>
    </w:p>
    <w:p>
      <w:pPr>
        <w:pStyle w:val="Heading1"/>
      </w:pPr>
      <w:r>
        <w:t>Limitations</w:t>
      </w:r>
    </w:p>
    <w:p>
      <w:pPr>
        <w:pStyle w:val="ListBullet"/>
      </w:pPr>
      <w:r>
        <w:t>Acute bucket is only provisionally supported.</w:t>
      </w:r>
    </w:p>
    <w:p>
      <w:pPr>
        <w:pStyle w:val="ListBullet"/>
      </w:pPr>
      <w:r>
        <w:t>Subacute bucket is only provisionally supported.</w:t>
      </w:r>
    </w:p>
    <w:p>
      <w:pPr>
        <w:pStyle w:val="ListBullet"/>
      </w:pPr>
      <w:r>
        <w:t>Chronic bucket is only provisionally supported.</w:t>
      </w:r>
    </w:p>
    <w:p>
      <w:pPr>
        <w:pStyle w:val="ListBullet"/>
      </w:pPr>
      <w:r>
        <w:t>Promoted from existing atlas mechanism coverage: mitochondrial bioenergetic dysfunction.</w:t>
      </w:r>
    </w:p>
    <w:p>
      <w:pPr>
        <w:pStyle w:val="ListBullet"/>
      </w:pPr>
      <w:r>
        <w:t>Transition still needs denser direct support before it should be treated as hardened.</w:t>
      </w:r>
    </w:p>
    <w:p>
      <w:pPr>
        <w:pStyle w:val="ListBullet"/>
      </w:pPr>
      <w:r>
        <w:t>Timing support is incomplete or only partially aligned with the expected transition window.</w:t>
      </w:r>
    </w:p>
    <w:p>
      <w:pPr>
        <w:pStyle w:val="ListBullet"/>
      </w:pPr>
      <w:r>
        <w:t>Downstream lane is still seeded/provisional, so this transition should remain bounded.</w:t>
      </w:r>
    </w:p>
    <w:p>
      <w:pPr>
        <w:pStyle w:val="ListBullet"/>
      </w:pPr>
      <w:r>
        <w:t>Upstream lane still needs stronger longitudinal support.</w:t>
      </w:r>
    </w:p>
    <w:p>
      <w:pPr>
        <w:pStyle w:val="ListBullet"/>
      </w:pPr>
      <w:r>
        <w:t>Study found no significant correlation, contradicting the hypothesis of cumulative damage.</w:t>
      </w:r>
    </w:p>
    <w:p>
      <w:pPr>
        <w:pStyle w:val="ListBullet"/>
      </w:pPr>
      <w:r>
        <w:t>Object still needs denser direct support before it should be treated as hardened.</w:t>
      </w:r>
    </w:p>
    <w:p>
      <w:pPr>
        <w:pStyle w:val="Heading1"/>
      </w:pPr>
      <w:r>
        <w:t>Transparency, Rigor and Reproducibility Summary Starter</w:t>
      </w:r>
    </w:p>
    <w:p>
      <w:pPr>
        <w:pStyle w:val="ListBullet"/>
      </w:pPr>
      <w:r>
        <w:t>No open journal-specific rigor fill packet entries are currently attached to this pack.</w:t>
      </w:r>
    </w:p>
    <w:p>
      <w:pPr>
        <w:pStyle w:val="Heading1"/>
      </w:pPr>
      <w:r>
        <w:t>Statements and Declarations</w:t>
      </w:r>
    </w:p>
    <w:p>
      <w:pPr>
        <w:pStyle w:val="Heading2"/>
      </w:pPr>
      <w:r>
        <w:t>Funding</w:t>
      </w:r>
    </w:p>
    <w:p>
      <w:r>
        <w:t>[Needed]</w:t>
      </w:r>
    </w:p>
    <w:p>
      <w:pPr>
        <w:pStyle w:val="Heading2"/>
      </w:pPr>
      <w:r>
        <w:t>Conflict of Interest</w:t>
      </w:r>
    </w:p>
    <w:p>
      <w:r>
        <w:t>[Needed]</w:t>
      </w:r>
    </w:p>
    <w:p>
      <w:pPr>
        <w:pStyle w:val="Heading2"/>
      </w:pPr>
      <w:r>
        <w:t>Author Contributions</w:t>
      </w:r>
    </w:p>
    <w:p>
      <w:r>
        <w:t>[Needed]</w:t>
      </w:r>
    </w:p>
    <w:p>
      <w:pPr>
        <w:pStyle w:val="Heading2"/>
      </w:pPr>
      <w:r>
        <w:t>Data Availability</w:t>
      </w:r>
    </w:p>
    <w:p>
      <w:r>
        <w:t>[Needed]</w:t>
      </w:r>
    </w:p>
    <w:p>
      <w:pPr>
        <w:pStyle w:val="Heading2"/>
      </w:pPr>
      <w:r>
        <w:t>Ethics / Approvals</w:t>
      </w:r>
    </w:p>
    <w:p>
      <w:r>
        <w:t>[Needed]</w:t>
      </w:r>
    </w:p>
    <w:p>
      <w:pPr>
        <w:pStyle w:val="Heading1"/>
      </w:pPr>
      <w:r>
        <w:t>Figure and Table Plan</w:t>
      </w:r>
    </w:p>
    <w:p>
      <w:pPr>
        <w:pStyle w:val="ListBullet"/>
      </w:pPr>
      <w:r>
        <w:rPr>
          <w:b/>
        </w:rPr>
        <w:t>Phase 1 to Phase 5 evidence chain for the manuscript path:</w:t>
      </w:r>
      <w:r>
        <w:t>Show how the selected manuscript path moves from lane anchor to causal bridge to progression burden to translational packet to endotype context.</w:t>
      </w:r>
    </w:p>
    <w:p>
      <w:pPr>
        <w:pStyle w:val="ListBullet"/>
      </w:pPr>
      <w:r>
        <w:rPr>
          <w:b/>
        </w:rPr>
        <w:t>Biomarker and readout panel for the lead translational packet:</w:t>
      </w:r>
      <w:r>
        <w:t>Show the candidate biomarker panel, expected readouts, time windows, and sample types.</w:t>
      </w:r>
    </w:p>
    <w:p>
      <w:pPr>
        <w:pStyle w:val="ListBullet"/>
      </w:pPr>
      <w:r>
        <w:rPr>
          <w:b/>
        </w:rPr>
        <w:t>Downstream burden and endotype context:</w:t>
      </w:r>
      <w:r>
        <w:t>Show the progression objects (Persistent Metabolic Dysfunction, Microglial Chronic Activation) and the linked endotypes (Acute Severe Vascular-Dominant, Chronic Mild Metabolic / White Matter Dominant, Chronic Severe Axonal / Network Decline).</w:t>
      </w:r>
    </w:p>
    <w:p>
      <w:pPr>
        <w:pStyle w:val="ListBullet"/>
      </w:pPr>
      <w:r>
        <w:rPr>
          <w:b/>
        </w:rPr>
        <w:t>Evidence boundaries and contradiction map:</w:t>
      </w:r>
      <w:r>
        <w:t>Show the main contradictions, evidence gaps, and source-quality boundaries that still limit the paper.</w:t>
      </w:r>
    </w:p>
    <w:p>
      <w:pPr>
        <w:pStyle w:val="Heading1"/>
      </w:pPr>
      <w:r>
        <w:t>Missing Metadata and Packaging Items</w:t>
      </w:r>
    </w:p>
    <w:p>
      <w:pPr>
        <w:pStyle w:val="ListBullet"/>
      </w:pPr>
      <w:r>
        <w:t>Operator metadata items still needed: 12</w:t>
      </w:r>
    </w:p>
    <w:p>
      <w:pPr>
        <w:pStyle w:val="ListBullet"/>
      </w:pPr>
      <w:r>
        <w:t>Content or rigor gaps still open: 0</w:t>
      </w:r>
    </w:p>
    <w:p>
      <w:pPr>
        <w:pStyle w:val="ListBullet"/>
      </w:pPr>
      <w:r>
        <w:t>See</w:t>
      </w:r>
      <w:r>
        <w:rPr>
          <w:rFonts w:ascii="Courier New" w:hAnsi="Courier New"/>
        </w:rPr>
        <w:t>missingmetadataanditems.md</w:t>
      </w:r>
      <w:r>
        <w:t>for the detailed working list.</w:t>
      </w:r>
    </w:p>
    <w:p>
      <w:pPr>
        <w:pStyle w:val="Heading1"/>
      </w:pPr>
      <w:r>
        <w:t>References</w:t>
      </w:r>
    </w:p>
    <w:p>
      <w:r>
        <w:t>1. PMID:41651694.</w:t>
      </w:r>
    </w:p>
    <w:p>
      <w:r>
        <w:t>2. PMID:41480492.</w:t>
      </w:r>
    </w:p>
    <w:p>
      <w:r>
        <w:t>3. PMID:41576094.</w:t>
      </w:r>
    </w:p>
    <w:p>
      <w:r>
        <w:t>4. PMID:41764101.</w:t>
      </w:r>
    </w:p>
    <w:p>
      <w:r>
        <w:t>5. PMID:41648326.</w:t>
      </w:r>
    </w:p>
    <w:p>
      <w:r>
        <w:t>6. Metabolic pathway dysregulation in diffuse axonal injury: a multimodal biomarker approach for early diagnosis and mechanistic insights. PMID:41267966.</w:t>
      </w:r>
    </w:p>
    <w:p>
      <w:r>
        <w:t>7. PMID:41735605.</w:t>
      </w:r>
    </w:p>
    <w:p>
      <w:r>
        <w:t>8. PMID:41153827.</w:t>
      </w:r>
    </w:p>
    <w:p>
      <w:r>
        <w:t>9. PMID:41667502.</w:t>
      </w:r>
    </w:p>
    <w:p>
      <w:r>
        <w:t>10. PMID:41103638.</w:t>
      </w:r>
    </w:p>
    <w:p>
      <w:r>
        <w:t>11. PMID:41625091.</w:t>
      </w:r>
    </w:p>
    <w:p>
      <w:r>
        <w:t>12. PMID:41709060.</w:t>
      </w:r>
    </w:p>
    <w:p>
      <w:r>
        <w:t>13. PMID:41069428.</w:t>
      </w:r>
    </w:p>
    <w:p>
      <w:r>
        <w:t>14. PMID:41110648.</w:t>
      </w:r>
    </w:p>
    <w:p>
      <w:r>
        <w:t>15. PMID:41129987.</w:t>
      </w:r>
    </w:p>
    <w:p>
      <w:r>
        <w:t>16. PMID:41157305.</w:t>
      </w:r>
    </w:p>
    <w:p>
      <w:r>
        <w:t>17. Association Between Intraindividual Variability in Cognitive Performance and White Matter Organisation in Chronic Mild Traumatic Brain Injury. PMID:41175081.</w:t>
      </w:r>
    </w:p>
    <w:p>
      <w:r>
        <w:t>18. PMID:41179995.</w:t>
      </w:r>
    </w:p>
    <w:p>
      <w:r>
        <w:t>19. PMID:41039850.</w:t>
      </w:r>
    </w:p>
    <w:p>
      <w:r>
        <w:t>20. PMID:41135688.</w:t>
      </w:r>
    </w:p>
    <w:p>
      <w:r>
        <w:t>21. PMID:41157272.</w:t>
      </w:r>
    </w:p>
    <w:p>
      <w:r>
        <w:t>22. PMID:41173520.</w:t>
      </w:r>
    </w:p>
    <w:p>
      <w:r>
        <w:t>23. PMID:41197779.</w:t>
      </w:r>
    </w:p>
    <w:p>
      <w:r>
        <w:t>24. PMID:41327381.</w:t>
      </w:r>
    </w:p>
    <w:p>
      <w:r>
        <w:t>25. PMID:41446731.</w:t>
      </w:r>
    </w:p>
    <w:p>
      <w:r>
        <w:t>26. PMID:41926540.</w:t>
      </w:r>
    </w:p>
    <w:p>
      <w:r>
        <w:t>27. PMID:41876825.</w:t>
      </w:r>
    </w:p>
    <w:p>
      <w:r>
        <w:t>28. Characterization and Prognostic Factors of Severe Pediatric Traumatic Brain Injury. PMID:41700282.</w:t>
      </w:r>
    </w:p>
    <w:p>
      <w:r>
        <w:t>29. Explainable machine learning reveals multifactorial drivers of early intracranial hematoma progression in traumatic brain injury: development of a SHAP-guided SVM nomogram. PMID:41725719.</w:t>
      </w:r>
    </w:p>
    <w:p>
      <w:r>
        <w:t>30. Neuroworsening from a normal Glasgow Coma Scale Motor Score in the emergency department is an early predictor of neurosurgical intervention, hospital outcomes, and longitudinal disability in traumatic brain injury: A TRACK-TBI Study. PMID:41672813.</w:t>
      </w:r>
    </w:p>
    <w:p>
      <w:r>
        <w:t>31. Prognostic ability of salivary S100B in predicting unfavorable outcomes in patients with moderate and severe traumatic brain injury. PMID:41653068.</w:t>
      </w:r>
    </w:p>
    <w:p>
      <w:r>
        <w:t>32. Aptamer-based proteomics in pediatric patients with severe traumatic brain injury: a pilot study. PMID:41714686.</w:t>
      </w:r>
    </w:p>
    <w:p>
      <w:r>
        <w:t>33. Epidemiology, Clinical Profiling, Management, and Functional Outcome in Moderate-to-Severe Traumatic Brain Injury in Children: A Single-center Experience. PMID:41731737.</w:t>
      </w:r>
    </w:p>
    <w:p>
      <w:r>
        <w:t>34. Moderate-severe traumatic brain injury disrupts core mechanisms of online language processing and use. PMID:41722498.</w:t>
      </w:r>
    </w:p>
    <w:p>
      <w:r>
        <w:t>35. Predicting Return Home After Moderate-to-Severe Traumatic Brain Injury. PMID:41604614.</w:t>
      </w:r>
    </w:p>
    <w:p>
      <w:r>
        <w:t>36. Linking Symptom Phenotypes to Patterns of White Matter Injury in Mild Traumatic Brain Injury: A Latent Class Analysis. PMID:41203427.</w:t>
      </w:r>
    </w:p>
    <w:p>
      <w:r>
        <w:t>37. Cognitive impairment and altered structural connectivity after mild traumatic brain injury: A longitudinal study based on generalized q-sampling imaging. PMID:41622453.</w:t>
      </w:r>
    </w:p>
    <w:p>
      <w:r>
        <w:t>38. Neuroimaging correlates of symptom burden and functional recovery following mild traumatic brain injury: A systematic review. PMID:41496379.</w:t>
      </w:r>
    </w:p>
    <w:p>
      <w:r>
        <w:t>39. Diffusion Tensor Imaging Along the Perivascular Space in Veterans with Remote Mild Traumatic Brain Injuries. PMID:41701552.</w:t>
      </w:r>
    </w:p>
    <w:p>
      <w:r>
        <w:t>40. A Bioinformatic Study of Genetics Involved in Determining Mild Traumatic Brain Injury Severity and Recovery. PMID:41301762.</w:t>
      </w:r>
    </w:p>
    <w:p>
      <w:r>
        <w:t>41. Application of Machine Learning in the Diagnosis and Prognosis of Mild Traumatic Brain Injury Using Diffusion Tensor Imaging: A Systematic Review. PMID:41026543.</w:t>
      </w:r>
    </w:p>
    <w:p>
      <w:r>
        <w:t>42. Traumatic Axonal Injury on Early Magnetic Resonance Imaging and Associations with Long-Term Outcome in Children with Moderate and Severe Traumatic Brain Injury. PMID:41761716.</w:t>
      </w:r>
    </w:p>
    <w:p>
      <w:r>
        <w:t>43. Computerized Cognitive Remediation Affects White Matter Microstructure in Relation to Improved Cognitive Function in Adults with Chronic Traumatic Brain Injury. PMID:41700705.</w:t>
      </w:r>
    </w:p>
    <w:p>
      <w:r>
        <w:t>44. An Evaluation of Aeromedical Evacuation Strategies Following Traumatic Brain Injury and Severe Blood Loss. PMID:41761707.</w:t>
      </w:r>
    </w:p>
    <w:p>
      <w:r>
        <w:t>45. Fatal Traumatic Brain Injury With Traumatic Axonal Injury, From a Nonpenetrating Sponge Round: A Forensic Case Report. PMID:41709312.</w:t>
      </w:r>
    </w:p>
    <w:p>
      <w:r>
        <w:t>46. Increased intracranial pressure in severe traumatic axonal injury patients - A retrospective single-center study. PMID:41737875.</w:t>
      </w:r>
    </w:p>
    <w:p>
      <w:r>
        <w:t>47. Long-lasting neurobehavioral disorders after traumatic brain injury: potential predictors and functional outcomes. PMID:41424224.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