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Neuroinflammation / Microglial State Change as a biomarker-guided manuscript path in traumatic brain injury</w:t>
      </w:r>
    </w:p>
    <w:p>
      <w:r>
        <w:rPr>
          <w:i/>
        </w:rPr>
        <w:t>Draft-first manuscript generated directly from the current Phase 8 evidence pack. Replace bracketed metadata placeholders manually and keep all claims bounded to the cited pack content.</w:t>
      </w:r>
    </w:p>
    <w:p>
      <w:pPr>
        <w:pStyle w:val="Heading1"/>
      </w:pPr>
      <w:r>
        <w:t>Title Page</w:t>
      </w:r>
    </w:p>
    <w:p>
      <w:pPr>
        <w:pStyle w:val="ListBullet"/>
      </w:pPr>
      <w:r>
        <w:t>Full title: [Confirm final journal-facing title]</w:t>
      </w:r>
    </w:p>
    <w:p>
      <w:pPr>
        <w:pStyle w:val="ListBullet"/>
      </w:pPr>
      <w:r>
        <w:t>Running title: [Needed]</w:t>
      </w:r>
    </w:p>
    <w:p>
      <w:pPr>
        <w:pStyle w:val="ListBullet"/>
      </w:pPr>
      <w:r>
        <w:t>Authors: [Needed]</w:t>
      </w:r>
    </w:p>
    <w:p>
      <w:pPr>
        <w:pStyle w:val="ListBullet"/>
      </w:pPr>
      <w:r>
        <w:t>Affiliations: [Needed]</w:t>
      </w:r>
    </w:p>
    <w:p>
      <w:pPr>
        <w:pStyle w:val="ListBullet"/>
      </w:pPr>
      <w:r>
        <w:t>Corresponding author: [Needed]</w:t>
      </w:r>
    </w:p>
    <w:p>
      <w:pPr>
        <w:pStyle w:val="Heading1"/>
      </w:pPr>
      <w:r>
        <w:t>Abstract</w:t>
      </w:r>
    </w:p>
    <w:p>
      <w:r>
        <w:t>This review synthesizes the current Phase 8 evidence pack around Neuroinflammation / Microglial State Change. The current thesis is: Track NLRP3, IL-1beta, IL-6, TNF-alpha to test whether NLRP3 is moving the expected lane biology. The evidence chain links Neuroinflammation / Microglial State Change to BBB permeability increase -&gt; peripheral immune infiltration, with downstream burden in Microglial Chronic Activation, Persistent Metabolic Dysfunction, Tauopathy Progression. The translational readout spine centers on NLRP3 with expected readouts IL 1beta / il 6 / tnf Alpha network, Nlrp3 inflammasome burden, Gfap and glial stress, Tau amplification pressure. The manuscript remains intentionally bounded: translation maturity is bounded, and the leading boundary is Study found no significant correlation, contradicting the hypothesis of cumulative damage..</w:t>
      </w:r>
    </w:p>
    <w:p>
      <w:pPr>
        <w:pStyle w:val="Heading1"/>
      </w:pPr>
      <w:r>
        <w:t>Keywords</w:t>
      </w:r>
    </w:p>
    <w:p>
      <w:pPr>
        <w:pStyle w:val="ListBullet"/>
      </w:pPr>
      <w:r>
        <w:t>Neuroinflammation / Microglial State Change, Neuroinflammation / Microglial State Change biomarker panel, NLRP3, IL-1beta / IL-6 / TNF-alpha network, NLRP3 inflammasome burden, GFAP and glial stress, Tau amplification pressure, Microglial Chronic Activation</w:t>
      </w:r>
    </w:p>
    <w:p>
      <w:pPr>
        <w:pStyle w:val="Heading1"/>
      </w:pPr>
      <w:r>
        <w:t>Introduction</w:t>
      </w:r>
    </w:p>
    <w:p>
      <w:r>
        <w:t>Track NLRP3, IL-1beta, IL-6, TNF-alpha to test whether NLRP3 is moving the expected lane biology. This draft is anchored to Neuroinflammation / Microglial State Change because that lane provides the current biological entry point into the manuscript path.</w:t>
      </w:r>
    </w:p>
    <w:p>
      <w:r>
        <w:t>The linked rationale in the Phase 8 pack is straightforward: NLRP3 is the most coherent TBI-core perturbation node for this lane and already bridges backward to mitochondrial stress and forward to tau amplification. The directional bridge into BBB permeability increase -&gt; peripheral immune infiltration gives the manuscript a mechanistic spine, while the linked Phase 3 and Phase 5 artifacts keep the story tied to downstream burden and cohort context rather than to generic TBI language.</w:t>
      </w:r>
    </w:p>
    <w:p>
      <w:pPr>
        <w:pStyle w:val="Heading1"/>
      </w:pPr>
      <w:r>
        <w:t>Review Scope and Evidence Assembly</w:t>
      </w:r>
    </w:p>
    <w:p>
      <w:r>
        <w:t>This manuscript is being packaged as a bounded evidence synthesis rather than as a new experimental report. The evidence base comes from the current Phase 1 to Phase 5 engine pack, linked PubMed-indexed source papers, explicit claim-to-PMID mapping, a contradiction register, and a bounded translational readout packet.</w:t>
      </w:r>
    </w:p>
    <w:p>
      <w:r>
        <w:t>The review logic is intentionally conservative: mechanistic and biomarker claims are carried forward only when they remain linked to the current evidence chain, and unresolved contradiction rows are retained in the manuscript as limitations or future-work boundaries rather than being smoothed away.</w:t>
      </w:r>
    </w:p>
    <w:p>
      <w:pPr>
        <w:pStyle w:val="Heading1"/>
      </w:pPr>
      <w:r>
        <w:t>Evidence Synthesis</w:t>
      </w:r>
    </w:p>
    <w:p>
      <w:pPr>
        <w:pStyle w:val="Heading2"/>
      </w:pPr>
      <w:r>
        <w:t>Candidate manuscript thesis</w:t>
      </w:r>
    </w:p>
    <w:p>
      <w:r>
        <w:t>Track NLRP3, IL-1beta, IL-6, TNF-alpha to test whether NLRP3 is moving the expected lane biology. (PMIDs: 41157272, 41103638, 41663365, 41734021)</w:t>
      </w:r>
    </w:p>
    <w:p>
      <w:r>
        <w:t>Drafting rule: Use affirmative language for the mechanism or pattern, while staying within the current artifact scope.</w:t>
      </w:r>
    </w:p>
    <w:p>
      <w:r>
        <w:t>Current contradiction notes: Study found no significant correlation, contradicting the hypothesis of cumulative damage. | Single-cytokine changes can overstate inflammatory control | keep this packet tied to a network-level cytokine plus glial-stress readout panel.</w:t>
      </w:r>
    </w:p>
    <w:p>
      <w:pPr>
        <w:pStyle w:val="Heading2"/>
      </w:pPr>
      <w:r>
        <w:t>Neuroinflammation / Microglial State Change</w:t>
      </w:r>
    </w:p>
    <w:p>
      <w:r>
        <w:t>Innate immune activation, cytokine signaling, and microglial state transitions following TBI. (PMIDs: 41157272, 41103638, 41926211, 41663365)</w:t>
      </w:r>
    </w:p>
    <w:p>
      <w:r>
        <w:t>Drafting rule: Use cautious wording and avoid definitive causal or clinical claims.</w:t>
      </w:r>
    </w:p>
    <w:p>
      <w:r>
        <w:t>Current evidence gaps: Acute bucket is only provisionally supported. | Subacute bucket is only provisionally supported. | Chronic bucket is only provisionally supported.</w:t>
      </w:r>
    </w:p>
    <w:p>
      <w:pPr>
        <w:pStyle w:val="Heading2"/>
      </w:pPr>
      <w:r>
        <w:t>BBB permeability increase -&gt; peripheral immune infiltration</w:t>
      </w:r>
    </w:p>
    <w:p>
      <w:r>
        <w:t>Current TBI evidence supports a directional transition in which BBB permeability increase facilitates peripheral immune infiltration. (PMIDs: 41709060, 41740873, 41683989)</w:t>
      </w:r>
    </w:p>
    <w:p>
      <w:r>
        <w:t>Drafting rule: Use affirmative language for the mechanism or pattern, while staying within the current artifact scope.</w:t>
      </w:r>
    </w:p>
    <w:p>
      <w:r>
        <w:t>Current evidence gaps: Some supporting rows are abstract-only and should be weighted cautiously. | Downstream lane is still seeded/provisional, so this transition should remain bounded.</w:t>
      </w:r>
    </w:p>
    <w:p>
      <w:pPr>
        <w:pStyle w:val="Heading2"/>
      </w:pPr>
      <w:r>
        <w:t>Mitochondrial ROS -&gt; inflammasome activation</w:t>
      </w:r>
    </w:p>
    <w:p>
      <w:r>
        <w:t>Current TBI evidence suggests that mitochondrial ROS or related mitochondrial stress signals amplify inflammasome activation. (PMIDs: 41480492, 41103638, 41709060)</w:t>
      </w:r>
    </w:p>
    <w:p>
      <w:r>
        <w:t>Drafting rule: Use cautious, hypothesis-oriented wording and explicitly note boundedness.</w:t>
      </w:r>
    </w:p>
    <w:p>
      <w:r>
        <w:t>Current evidence gaps: Transition still needs denser direct support before it should be treated as hardened. | Timing support is incomplete or only partially aligned with the expected transition window. | Downstream lane is still seeded/provisional, so this transition should remain bounded. | Upstream lane still needs stronger longitudinal support.</w:t>
      </w:r>
    </w:p>
    <w:p>
      <w:pPr>
        <w:pStyle w:val="Heading2"/>
      </w:pPr>
      <w:r>
        <w:t>Neuroinflammation / microglial state change -&gt; tau / proteinopathy progression</w:t>
      </w:r>
    </w:p>
    <w:p>
      <w:r>
        <w:t>Current TBI evidence suggests that sustained neuroinflammation and microglial state change can amplify tau pathology and broader proteinopathy progression. (PMIDs: 41683989, 41809632)</w:t>
      </w:r>
    </w:p>
    <w:p>
      <w:r>
        <w:t>Drafting rule: Use cautious, hypothesis-oriented wording and explicitly note boundedness.</w:t>
      </w:r>
    </w:p>
    <w:p>
      <w:r>
        <w:t>Current evidence gaps: Transition still needs denser direct support before it should be treated as hardened. | Timing support is incomplete or only partially aligned with the expected transition window. | Downstream lane is still seeded/provisional, so this transition should remain bounded. | Upstream lane still needs stronger longitudinal support.</w:t>
      </w:r>
    </w:p>
    <w:p>
      <w:pPr>
        <w:pStyle w:val="Heading2"/>
      </w:pPr>
      <w:r>
        <w:t>Microglial Chronic Activation</w:t>
      </w:r>
    </w:p>
    <w:p>
      <w:r>
        <w:t>Chronic microglial activation is a plausible sustaining object that keeps acute injury biology alive long enough to drive later degeneration. (PMIDs: 41039850, 41103638, 41135688, 41157272)</w:t>
      </w:r>
    </w:p>
    <w:p>
      <w:r>
        <w:t>Drafting rule: Use affirmative language for the mechanism or pattern, while staying within the current artifact scope.</w:t>
      </w:r>
    </w:p>
    <w:p>
      <w:r>
        <w:t>Current evidence gaps: Some supporting rows are abstract-only and should be weighted cautiously.</w:t>
      </w:r>
    </w:p>
    <w:p>
      <w:pPr>
        <w:pStyle w:val="Heading2"/>
      </w:pPr>
      <w:r>
        <w:t>Persistent Metabolic Dysfunction</w:t>
      </w:r>
    </w:p>
    <w:p>
      <w:r>
        <w:t>Persistent metabolic dysfunction is where intracellular stress may become self-sustaining instead of resolving after the acute phase. (PMIDs: 41069428, 41103638, 41110648, 41129987)</w:t>
      </w:r>
    </w:p>
    <w:p>
      <w:r>
        <w:t>Drafting rule: Use cautious, hypothesis-oriented wording and explicitly note boundedness.</w:t>
      </w:r>
    </w:p>
    <w:p>
      <w:r>
        <w:t>Current contradiction notes: Study found no significant correlation, contradicting the hypothesis of cumulative damage.</w:t>
      </w:r>
    </w:p>
    <w:p>
      <w:r>
        <w:t>Current evidence gaps: Object still needs denser direct support before it should be treated as hardened. | Some supporting rows are abstract-only and should be weighted cautiously. | Contradiction-bearing evidence is present and needs adjudication before stronger promotion.</w:t>
      </w:r>
    </w:p>
    <w:p>
      <w:pPr>
        <w:pStyle w:val="Heading2"/>
      </w:pPr>
      <w:r>
        <w:t>Tauopathy Progression</w:t>
      </w:r>
    </w:p>
    <w:p>
      <w:r>
        <w:t>Tauopathy progression is one of the clearest bridges from repeated injury biology into chronic neurodegenerative trajectory risk. (PMIDs: 41179995, 41328339, 41496386, 41594797)</w:t>
      </w:r>
    </w:p>
    <w:p>
      <w:r>
        <w:t>Drafting rule: Use affirmative language for the mechanism or pattern, while staying within the current artifact scope.</w:t>
      </w:r>
    </w:p>
    <w:p>
      <w:r>
        <w:t>Current evidence gaps: Some supporting rows are abstract-only and should be weighted cautiously.</w:t>
      </w:r>
    </w:p>
    <w:p>
      <w:pPr>
        <w:pStyle w:val="Heading2"/>
      </w:pPr>
      <w:r>
        <w:t>Neuroinflammation / Microglial State Change</w:t>
      </w:r>
    </w:p>
    <w:p>
      <w:r>
        <w:t>Blunt the inflammasome and cytokine network without pretending one marker equals the whole inflammatory state. (PMIDs: 41157272, 41103638, 41663365, 41734021)</w:t>
      </w:r>
    </w:p>
    <w:p>
      <w:r>
        <w:t>Drafting rule: Use supported mechanistic language, but keep translational claims bounded and non-clinical.</w:t>
      </w:r>
    </w:p>
    <w:p>
      <w:r>
        <w:t>Current contradiction notes: Study found no significant correlation, contradicting the hypothesis of cumulative damage. | Single-cytokine changes can overstate inflammatory control | keep this packet tied to a network-level cytokine plus glial-stress readout panel. | no direct compound or trial attachment surfaced in this build</w:t>
      </w:r>
    </w:p>
    <w:p>
      <w:pPr>
        <w:pStyle w:val="Heading2"/>
      </w:pPr>
      <w:r>
        <w:t>Acute Mild Biomarker / Imaging Bridge</w:t>
      </w:r>
    </w:p>
    <w:p>
      <w:r>
        <w:t>This is the best early endotype packet for not treating all concussive or mild injury as one disease in the first hours to days. (PMIDs: 41707328, 41737590, 41496386, 41173528)</w:t>
      </w:r>
    </w:p>
    <w:p>
      <w:r>
        <w:t>Drafting rule: Use cohort-language as suggestive context only, not as a locked endotype claim.</w:t>
      </w:r>
    </w:p>
    <w:p>
      <w:r>
        <w:t>Current contradiction notes: Acute biomarker spikes can reflect injury burden without resolving the dominant process, and imaging can remain subtle despite strong circulating markers.</w:t>
      </w:r>
    </w:p>
    <w:p>
      <w:r>
        <w:t>Current evidence gaps: Subacute conversion rules are still thin | the current packet is strongest at triage and early follow-up.</w:t>
      </w:r>
    </w:p>
    <w:p>
      <w:pPr>
        <w:pStyle w:val="Heading2"/>
      </w:pPr>
      <w:r>
        <w:t>Acute Blast Vascular / Inflammatory Mixed</w:t>
      </w:r>
    </w:p>
    <w:p>
      <w:r>
        <w:t>Blast cohorts are easy to lump into generic TBI groups, but they may represent the clearest case where mixed dominant-process labels are necessary. (PMIDs: 41809238, 41794317, 41596245, 41723947)</w:t>
      </w:r>
    </w:p>
    <w:p>
      <w:r>
        <w:t>Drafting rule: Use cohort-language as suggestive context only, not as a locked endotype claim.</w:t>
      </w:r>
    </w:p>
    <w:p>
      <w:r>
        <w:t>Current contradiction notes: Blast cohorts often mix repetitive exposure, endocrine injury, and vascular stress, so clean one-driver interpretations are likely to overstate certainty.</w:t>
      </w:r>
    </w:p>
    <w:p>
      <w:r>
        <w:t>Current evidence gaps: Cohort granularity is still thin, and the current packet needs better direct imaging anchors.</w:t>
      </w:r>
    </w:p>
    <w:p>
      <w:pPr>
        <w:pStyle w:val="Heading2"/>
      </w:pPr>
      <w:r>
        <w:t>Subacute Repetitive Inflammatory-Dominant</w:t>
      </w:r>
    </w:p>
    <w:p>
      <w:r>
        <w:t>This is the best current packet for distinguishing repetitive-TBI cohorts that may respond to inflammasome or glial-state perturbation before chronic tau biology hardens. (PMIDs: 41173520, 41446731, 41740873, 41740080)</w:t>
      </w:r>
    </w:p>
    <w:p>
      <w:r>
        <w:t>Drafting rule: Use affirmative language for the mechanism or pattern, while staying within the current artifact scope.</w:t>
      </w:r>
    </w:p>
    <w:p>
      <w:r>
        <w:t>Current contradiction notes: Repetitive cohorts can still carry unresolved vascular pressure, so an inflammatory label should stay bounded unless barrier readouts are also tracked.</w:t>
      </w:r>
    </w:p>
    <w:p>
      <w:r>
        <w:t>Current evidence gaps: The packet needs more direct cohort-level translation into chronic outcomes and transcriptomic stratifiers.</w:t>
      </w:r>
    </w:p>
    <w:p>
      <w:pPr>
        <w:pStyle w:val="Heading2"/>
      </w:pPr>
      <w:r>
        <w:t>Chronic Repetitive Tau / Clearance Mixed</w:t>
      </w:r>
    </w:p>
    <w:p>
      <w:r>
        <w:t>This is the strongest current packet for testing whether repetitive-impact cohorts need a clearance-first or tau-first translational logic instead of a generic inflammatory one. (PMIDs: 41508043, 41612558, 41627284, 41700070)</w:t>
      </w:r>
    </w:p>
    <w:p>
      <w:r>
        <w:t>Drafting rule: Use cohort-language as suggestive context only, not as a locked endotype claim.</w:t>
      </w:r>
    </w:p>
    <w:p>
      <w:r>
        <w:t>Current contradiction notes: Tau and clearance signals can co-occur without proving directionality, and repetitive cohorts can still carry unresolved inflammatory pressure.</w:t>
      </w:r>
    </w:p>
    <w:p>
      <w:r>
        <w:t>Current evidence gaps: Direct cohort-level ties between clearance readouts, tau variants, and longitudinal function are still sparse.</w:t>
      </w:r>
    </w:p>
    <w:p>
      <w:pPr>
        <w:pStyle w:val="Heading1"/>
      </w:pPr>
      <w:r>
        <w:t>Discussion</w:t>
      </w:r>
    </w:p>
    <w:p>
      <w:r>
        <w:t>This manuscript is currently targeted to Journal of Neurotrauma as a review because the current evidence pack already carries a named thesis, a linked Phase 1 to Phase 5 chain, and a draft readout spine built around IL 1beta / il 6 / tnf Alpha network, Nlrp3 inflammasome burden, Gfap and glial stress, Tau amplification pressure.</w:t>
      </w:r>
    </w:p>
    <w:p>
      <w:r>
        <w:t>The draft should still remain bounded. Translation maturity is bounded, the next experimental move is Run an NLRP3-centered panel with cytokines, GFAP, and secondary tau-amplification readouts across acute, subacute, and chronic windows., and the current top blocker is Study found no significant correlation, contradicting the hypothesis of cumulative damage.. These constraints should remain explicit rather than being smoothed away during prose cleanup.</w:t>
      </w:r>
    </w:p>
    <w:p>
      <w:r>
        <w:t>The cohort and endotype context currently in scope is Acute Mild Biomarker / Imaging Bridge, Acute Blast Vascular / Inflammatory Mixed, Subacute Repetitive Inflammatory-Dominant, Chronic Repetitive Tau / Clearance Mixed. Use that context to keep the narrative specific about where the manuscript path appears strongest and where it remains only provisional.</w:t>
      </w:r>
    </w:p>
    <w:p>
      <w:pPr>
        <w:pStyle w:val="Heading1"/>
      </w:pPr>
      <w:r>
        <w:t>Limitations</w:t>
      </w:r>
    </w:p>
    <w:p>
      <w:pPr>
        <w:pStyle w:val="ListBullet"/>
      </w:pPr>
      <w:r>
        <w:t>Study found no significant correlation, contradicting the hypothesis of cumulative damage.</w:t>
      </w:r>
    </w:p>
    <w:p>
      <w:pPr>
        <w:pStyle w:val="ListBullet"/>
      </w:pPr>
      <w:r>
        <w:t>Single-cytokine changes can overstate inflammatory control</w:t>
      </w:r>
    </w:p>
    <w:p>
      <w:pPr>
        <w:pStyle w:val="ListBullet"/>
      </w:pPr>
      <w:r>
        <w:t>keep this packet tied to a network-level cytokine plus glial-stress readout panel.</w:t>
      </w:r>
    </w:p>
    <w:p>
      <w:pPr>
        <w:pStyle w:val="ListBullet"/>
      </w:pPr>
      <w:r>
        <w:t>Acute bucket is only provisionally supported.</w:t>
      </w:r>
    </w:p>
    <w:p>
      <w:pPr>
        <w:pStyle w:val="ListBullet"/>
      </w:pPr>
      <w:r>
        <w:t>Subacute bucket is only provisionally supported.</w:t>
      </w:r>
    </w:p>
    <w:p>
      <w:pPr>
        <w:pStyle w:val="ListBullet"/>
      </w:pPr>
      <w:r>
        <w:t>Chronic bucket is only provisionally supported.</w:t>
      </w:r>
    </w:p>
    <w:p>
      <w:pPr>
        <w:pStyle w:val="ListBullet"/>
      </w:pPr>
      <w:r>
        <w:t>Promoted from existing atlas mechanism coverage: neuroinflammation microglial activation.</w:t>
      </w:r>
    </w:p>
    <w:p>
      <w:pPr>
        <w:pStyle w:val="ListBullet"/>
      </w:pPr>
      <w:r>
        <w:t>Some supporting rows are abstract-only and should be weighted cautiously.</w:t>
      </w:r>
    </w:p>
    <w:p>
      <w:pPr>
        <w:pStyle w:val="ListBullet"/>
      </w:pPr>
      <w:r>
        <w:t>Downstream lane is still seeded/provisional, so this transition should remain bounded.</w:t>
      </w:r>
    </w:p>
    <w:p>
      <w:pPr>
        <w:pStyle w:val="ListBullet"/>
      </w:pPr>
      <w:r>
        <w:t>Transition still needs denser direct support before it should be treated as hardened.</w:t>
      </w:r>
    </w:p>
    <w:p>
      <w:pPr>
        <w:pStyle w:val="Heading1"/>
      </w:pPr>
      <w:r>
        <w:t>Transparency, Rigor and Reproducibility Summary Starter</w:t>
      </w:r>
    </w:p>
    <w:p>
      <w:pPr>
        <w:pStyle w:val="ListBullet"/>
      </w:pPr>
      <w:r>
        <w:t>No open journal-specific rigor fill packet entries are currently attached to this pack.</w:t>
      </w:r>
    </w:p>
    <w:p>
      <w:pPr>
        <w:pStyle w:val="Heading1"/>
      </w:pPr>
      <w:r>
        <w:t>Statements and Declarations</w:t>
      </w:r>
    </w:p>
    <w:p>
      <w:pPr>
        <w:pStyle w:val="Heading2"/>
      </w:pPr>
      <w:r>
        <w:t>Funding</w:t>
      </w:r>
    </w:p>
    <w:p>
      <w:r>
        <w:t>[Needed]</w:t>
      </w:r>
    </w:p>
    <w:p>
      <w:pPr>
        <w:pStyle w:val="Heading2"/>
      </w:pPr>
      <w:r>
        <w:t>Conflict of Interest</w:t>
      </w:r>
    </w:p>
    <w:p>
      <w:r>
        <w:t>[Needed]</w:t>
      </w:r>
    </w:p>
    <w:p>
      <w:pPr>
        <w:pStyle w:val="Heading2"/>
      </w:pPr>
      <w:r>
        <w:t>Author Contributions</w:t>
      </w:r>
    </w:p>
    <w:p>
      <w:r>
        <w:t>[Needed]</w:t>
      </w:r>
    </w:p>
    <w:p>
      <w:pPr>
        <w:pStyle w:val="Heading2"/>
      </w:pPr>
      <w:r>
        <w:t>Data Availability</w:t>
      </w:r>
    </w:p>
    <w:p>
      <w:r>
        <w:t>[Needed]</w:t>
      </w:r>
    </w:p>
    <w:p>
      <w:pPr>
        <w:pStyle w:val="Heading2"/>
      </w:pPr>
      <w:r>
        <w:t>Ethics / Approvals</w:t>
      </w:r>
    </w:p>
    <w:p>
      <w:r>
        <w:t>[Needed]</w:t>
      </w:r>
    </w:p>
    <w:p>
      <w:pPr>
        <w:pStyle w:val="Heading1"/>
      </w:pPr>
      <w:r>
        <w:t>Figure and Table Plan</w:t>
      </w:r>
    </w:p>
    <w:p>
      <w:pPr>
        <w:pStyle w:val="ListBullet"/>
      </w:pPr>
      <w:r>
        <w:rPr>
          <w:b/>
        </w:rPr>
        <w:t>Phase 1 to Phase 5 evidence chain for the manuscript path:</w:t>
      </w:r>
      <w:r>
        <w:t>Show how the selected manuscript path moves from lane anchor to causal bridge to progression burden to translational packet to endotype context.</w:t>
      </w:r>
    </w:p>
    <w:p>
      <w:pPr>
        <w:pStyle w:val="ListBullet"/>
      </w:pPr>
      <w:r>
        <w:rPr>
          <w:b/>
        </w:rPr>
        <w:t>Biomarker and readout panel for the lead translational packet:</w:t>
      </w:r>
      <w:r>
        <w:t>Show the candidate biomarker panel, expected readouts, time windows, and sample types.</w:t>
      </w:r>
    </w:p>
    <w:p>
      <w:pPr>
        <w:pStyle w:val="ListBullet"/>
      </w:pPr>
      <w:r>
        <w:rPr>
          <w:b/>
        </w:rPr>
        <w:t>Downstream burden and endotype context:</w:t>
      </w:r>
      <w:r>
        <w:t>Show the progression objects (Microglial Chronic Activation, Persistent Metabolic Dysfunction, Tauopathy Progression) and the linked endotypes (Acute Mild Biomarker / Imaging Bridge, Acute Blast Vascular / Inflammatory Mixed, Subacute Repetitive Inflammatory-Dominant, Chronic Repetitive Tau / Clearance Mixed).</w:t>
      </w:r>
    </w:p>
    <w:p>
      <w:pPr>
        <w:pStyle w:val="ListBullet"/>
      </w:pPr>
      <w:r>
        <w:rPr>
          <w:b/>
        </w:rPr>
        <w:t>Evidence boundaries and contradiction map:</w:t>
      </w:r>
      <w:r>
        <w:t>Show the main contradictions, evidence gaps, and source-quality boundaries that still limit the paper.</w:t>
      </w:r>
    </w:p>
    <w:p>
      <w:pPr>
        <w:pStyle w:val="Heading1"/>
      </w:pPr>
      <w:r>
        <w:t>Missing Metadata and Packaging Items</w:t>
      </w:r>
    </w:p>
    <w:p>
      <w:pPr>
        <w:pStyle w:val="ListBullet"/>
      </w:pPr>
      <w:r>
        <w:t>Operator metadata items still needed: 12</w:t>
      </w:r>
    </w:p>
    <w:p>
      <w:pPr>
        <w:pStyle w:val="ListBullet"/>
      </w:pPr>
      <w:r>
        <w:t>Content or rigor gaps still open: 0</w:t>
      </w:r>
    </w:p>
    <w:p>
      <w:pPr>
        <w:pStyle w:val="ListBullet"/>
      </w:pPr>
      <w:r>
        <w:t>See</w:t>
      </w:r>
      <w:r>
        <w:rPr>
          <w:rFonts w:ascii="Courier New" w:hAnsi="Courier New"/>
        </w:rPr>
        <w:t>missingmetadataanditems.md</w:t>
      </w:r>
      <w:r>
        <w:t>for the detailed working list.</w:t>
      </w:r>
    </w:p>
    <w:p>
      <w:pPr>
        <w:pStyle w:val="Heading1"/>
      </w:pPr>
      <w:r>
        <w:t>References</w:t>
      </w:r>
    </w:p>
    <w:p>
      <w:r>
        <w:t>1. PMID:41157272.</w:t>
      </w:r>
    </w:p>
    <w:p>
      <w:r>
        <w:t>2. PMID:41103638.</w:t>
      </w:r>
    </w:p>
    <w:p>
      <w:r>
        <w:t>3. PMID:41663365.</w:t>
      </w:r>
    </w:p>
    <w:p>
      <w:r>
        <w:t>4. Inflammasome adaptor ASC promotes sustained neuroinflammation and mild cognitive impairment in a closed-head injury model. doi:10.1172/JCI199818. PMID:41734021.</w:t>
      </w:r>
    </w:p>
    <w:p>
      <w:r>
        <w:t>5. PMID:41752185.</w:t>
      </w:r>
    </w:p>
    <w:p>
      <w:r>
        <w:t>6. PMID:41756282.</w:t>
      </w:r>
    </w:p>
    <w:p>
      <w:r>
        <w:t>7. Esketamine Suppresses Astrocyte-Driven Neuroinflammation in Traumatic Brain Injury via the METTL5/c-Myc/PD-L1. doi:10.1007/s11064-026-04724-8. PMID:41824127.</w:t>
      </w:r>
    </w:p>
    <w:p>
      <w:r>
        <w:t>8. PMID:41612383.</w:t>
      </w:r>
    </w:p>
    <w:p>
      <w:r>
        <w:t>9. PRMT6 is required for initiating and amplifying macrophage-induced inflammation in heterotopic ossification by increasing CCL2 expression. doi:10.1038/s41413-026-00512-w. PMID:41803087.</w:t>
      </w:r>
    </w:p>
    <w:p>
      <w:r>
        <w:t>10. PMID:41511466.</w:t>
      </w:r>
    </w:p>
    <w:p>
      <w:r>
        <w:t>11. PMID:41480492.</w:t>
      </w:r>
    </w:p>
    <w:p>
      <w:r>
        <w:t>12. PMID:41683989.</w:t>
      </w:r>
    </w:p>
    <w:p>
      <w:r>
        <w:t>13. PMID:41709060.</w:t>
      </w:r>
    </w:p>
    <w:p>
      <w:r>
        <w:t>14. PMID:41712436.</w:t>
      </w:r>
    </w:p>
    <w:p>
      <w:r>
        <w:t>15. PMID:41726892.</w:t>
      </w:r>
    </w:p>
    <w:p>
      <w:r>
        <w:t>16. PMID:41737534.</w:t>
      </w:r>
    </w:p>
    <w:p>
      <w:r>
        <w:t>17. PMID:41769894.</w:t>
      </w:r>
    </w:p>
    <w:p>
      <w:r>
        <w:t>18. Noble gases xenon and argon: from cellular signalling mechanisms to organoprotection and clinical applications. doi:10.1186/s12967-026-07944-2. PMID:41803953.</w:t>
      </w:r>
    </w:p>
    <w:p>
      <w:r>
        <w:t>19. PMID:41622481.</w:t>
      </w:r>
    </w:p>
    <w:p>
      <w:r>
        <w:t>20. PMID:41659975.</w:t>
      </w:r>
    </w:p>
    <w:p>
      <w:r>
        <w:t>21. Peripheral macrophages and T-cells accumulate in the degenerating optic tract after repetitive head impact. PMID:41740873.</w:t>
      </w:r>
    </w:p>
    <w:p>
      <w:r>
        <w:t>22. Mesenchymal stem cells and the central nervous system: historical perspectives and future directions. doi:10.3389/fnmol.2026.1742864. PMID:41809632.</w:t>
      </w:r>
    </w:p>
    <w:p>
      <w:r>
        <w:t>23. A Drug Delivery to Improve Prognosis of Traumatic Brain Injury Mice Through Mouse-Derived Nerve Growth Factor Coated by a Nanoparticle. PMID:41039850.</w:t>
      </w:r>
    </w:p>
    <w:p>
      <w:r>
        <w:t>24. PMID:41135688.</w:t>
      </w:r>
    </w:p>
    <w:p>
      <w:r>
        <w:t>25. A Modified Repetitive Closed Head Injury Model Inducing Persistent Neuroinflammation and Functional Deficits Without Extensive Cortical Tissue Destruction. PMID:41173520.</w:t>
      </w:r>
    </w:p>
    <w:p>
      <w:r>
        <w:t>26. PMID:41197779.</w:t>
      </w:r>
    </w:p>
    <w:p>
      <w:r>
        <w:t>27. PMID:41327381.</w:t>
      </w:r>
    </w:p>
    <w:p>
      <w:r>
        <w:t>28. MRI-DTI contributes to evaluating diffuse neural injury following repetitive mild traumatic brain injury. PMID:41446731.</w:t>
      </w:r>
    </w:p>
    <w:p>
      <w:r>
        <w:t>29. PMID:41069428.</w:t>
      </w:r>
    </w:p>
    <w:p>
      <w:r>
        <w:t>30. PMID:41110648.</w:t>
      </w:r>
    </w:p>
    <w:p>
      <w:r>
        <w:t>31. PMID:41129987.</w:t>
      </w:r>
    </w:p>
    <w:p>
      <w:r>
        <w:t>32. PMID:41153827.</w:t>
      </w:r>
    </w:p>
    <w:p>
      <w:r>
        <w:t>33. PMID:41157305.</w:t>
      </w:r>
    </w:p>
    <w:p>
      <w:r>
        <w:t>34. PMID:41175081.</w:t>
      </w:r>
    </w:p>
    <w:p>
      <w:r>
        <w:t>35. Glymphatic system and mild traumatic brain injury: a mini review. PMID:41179995.</w:t>
      </w:r>
    </w:p>
    <w:p>
      <w:r>
        <w:t>36. PMID:41328339.</w:t>
      </w:r>
    </w:p>
    <w:p>
      <w:r>
        <w:t>37. Association of acute blood biomarkers with diffusion tensor imaging and outcome in patients with traumatic brain injury presenting with GCS of 13-15. PMID:41496386.</w:t>
      </w:r>
    </w:p>
    <w:p>
      <w:r>
        <w:t>38. PMID:41594797.</w:t>
      </w:r>
    </w:p>
    <w:p>
      <w:r>
        <w:t>39. PMID:41651695.</w:t>
      </w:r>
    </w:p>
    <w:p>
      <w:r>
        <w:t>40. PMID:41665901.</w:t>
      </w:r>
    </w:p>
    <w:p>
      <w:r>
        <w:t>41. MRI-Based Insights into the Connection Between Traumatic Brain Injury, Glymphatic Dysfunction, and Neurodegenerative Disease. PMID:41700070.</w:t>
      </w:r>
    </w:p>
    <w:p>
      <w:r>
        <w:t>42. PMID:41926211.</w:t>
      </w:r>
    </w:p>
    <w:p>
      <w:r>
        <w:t>43. PMID:41756234.</w:t>
      </w:r>
    </w:p>
    <w:p>
      <w:r>
        <w:t>44. PMID:41926540.</w:t>
      </w:r>
    </w:p>
    <w:p>
      <w:r>
        <w:t>45. Use of plasma-based brain biomarkers in the emergency department to rule out the need for unnecessary head CT imaging in acute mild traumatic brain injury patients. PMID:41707328.</w:t>
      </w:r>
    </w:p>
    <w:p>
      <w:r>
        <w:t>46. Mapping the acute trajectory of sport-related concussion outcomes across symptoms, cognition, and blood biomarkers. PMID:41737590.</w:t>
      </w:r>
    </w:p>
    <w:p>
      <w:r>
        <w:t>47. Traumatic Microbleeds in Mild Traumatic Brain Injury: Stability, Distribution, and Association with Other Injuries. PMID:41173528.</w:t>
      </w:r>
    </w:p>
    <w:p>
      <w:r>
        <w:t>48. Clinical utility of diffusion tensor imaging in sport-related concussion: a systematic review. PMID:41126936.</w:t>
      </w:r>
    </w:p>
    <w:p>
      <w:r>
        <w:t>49. One is not like the other: Examining the neural response to repetitive low-level blast exposure in experienced military personnel. doi:10.1016/j.ynirp.2026.100335. PMID:41809238.</w:t>
      </w:r>
    </w:p>
    <w:p>
      <w:r>
        <w:t>50. Identification of immune cell subsets involved in retinal ganglion cell damage following blast exposure. PMID:41794317.</w:t>
      </w:r>
    </w:p>
    <w:p>
      <w:r>
        <w:t>51. Integrated Blood Biomarker and Neurobehavioural Signatures of Latent Neuroinjury in Experienced Military Breachers Exposed to Repetitive Low-Intensity Blast. PMID:41596245.</w:t>
      </w:r>
    </w:p>
    <w:p>
      <w:r>
        <w:t>52. Pituitary hormone abnormalities following military-related traumatic brain injuries. PMID:41723947.</w:t>
      </w:r>
    </w:p>
    <w:p>
      <w:r>
        <w:t>53. Inflammation, Limbic White Matter Microstructure, and Clinical Symptoms in Retired American Football Players With Repetitive Head Impacts. PMID:41740080.</w:t>
      </w:r>
    </w:p>
    <w:p>
      <w:r>
        <w:t>54. PERK Deficiency Amplifies Molecular, Structural, and Network Vulnerability to Repetitive Mild Traumatic Brain Injury. PMID:41847037.</w:t>
      </w:r>
    </w:p>
    <w:p>
      <w:r>
        <w:t>55. Repetitive mild traumatic brain injury with the closed-head impact model of engineered rotational acceleration (CHIMERA) promotes tau pathology in tau transgenic mice and its propagation in brains injected with tau fibrils. PMID:41508043.</w:t>
      </w:r>
    </w:p>
    <w:p>
      <w:r>
        <w:t>56. Understanding the Neural Connectivity Changes of Repetitive Head Impacts in Youth Football Players: A Cross-Sectional MEG Analysis. PMID:41709584.</w:t>
      </w:r>
    </w:p>
    <w:p>
      <w:r>
        <w:t>57. Alterations in CSF Amyloid-β and Tau Biomarkers in Former College and Professional American Football Players: Findings from the DIAGNOSE CTE Research Project. PMID:41612558.</w:t>
      </w:r>
    </w:p>
    <w:p>
      <w:r>
        <w:t>58. Clinicopathological study of chronic traumatic encephalopathy pathology in a population-based cohort. PMID:41627284.</w:t>
      </w:r>
    </w:p>
    <w:p>
      <w:r>
        <w:t>59. Alterations in white matter microstructure and glymphatic function in post-traumatic disorders of consciousness: impact on consciousness levels and prognosis. PMID:41342721.</w:t>
      </w:r>
    </w:p>
    <w:p>
      <w:r>
        <w:t>60. Are enlarged perivascular spaces a predictor of early post-traumatic seizures after traumatic brain injury?- A pilot study. PMID:41707558.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