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Tau / Proteinopathy Progression with DYRK1A-centered readouts in traumatic brain injury</w:t>
      </w:r>
    </w:p>
    <w:p>
      <w:r>
        <w:rPr>
          <w:i/>
        </w:rPr>
        <w:t>Draft-first manuscript generated directly from the current Phase 8 evidence pack. Replace bracketed metadata placeholders manually and keep all claims bounded to the cited pack content.</w:t>
      </w:r>
    </w:p>
    <w:p>
      <w:pPr>
        <w:pStyle w:val="Heading1"/>
      </w:pPr>
      <w:r>
        <w:t>Title Page</w:t>
      </w:r>
    </w:p>
    <w:p>
      <w:pPr>
        <w:pStyle w:val="ListBullet"/>
      </w:pPr>
      <w:r>
        <w:t>Full title: [Confirm final journal-facing title]</w:t>
      </w:r>
    </w:p>
    <w:p>
      <w:pPr>
        <w:pStyle w:val="ListBullet"/>
      </w:pPr>
      <w:r>
        <w:t>Running title: [Needed]</w:t>
      </w:r>
    </w:p>
    <w:p>
      <w:pPr>
        <w:pStyle w:val="ListBullet"/>
      </w:pPr>
      <w:r>
        <w:t>Authors: [Needed]</w:t>
      </w:r>
    </w:p>
    <w:p>
      <w:pPr>
        <w:pStyle w:val="ListBullet"/>
      </w:pPr>
      <w:r>
        <w:t>Affiliations: [Needed]</w:t>
      </w:r>
    </w:p>
    <w:p>
      <w:pPr>
        <w:pStyle w:val="ListBullet"/>
      </w:pPr>
      <w:r>
        <w:t>Corresponding author: [Needed]</w:t>
      </w:r>
    </w:p>
    <w:p>
      <w:pPr>
        <w:pStyle w:val="Heading1"/>
      </w:pPr>
      <w:r>
        <w:t>Abstract</w:t>
      </w:r>
    </w:p>
    <w:p>
      <w:r>
        <w:t>This review synthesizes the current Phase 8 evidence pack around Tau / Proteinopathy Progression. The current thesis is: A chronic repetitive tau/clearance endotype may separate better by AQP4 or DTI-ALPS plus tau variants than by inflammation markers alone. The evidence chain links Tau / Proteinopathy Progression to Glymphatic failure -&gt; tau / protein accumulation, with downstream burden in Tauopathy Progression, Cognitive Decline Phenotype, Microglial Chronic Activation. The translational readout spine centers on DYRK1A with expected readouts not specified. The manuscript remains intentionally bounded: translation maturity is bounded, and the leading boundary is Downstream lane is still seeded/provisional, so this transition should remain bounded..</w:t>
      </w:r>
    </w:p>
    <w:p>
      <w:pPr>
        <w:pStyle w:val="Heading1"/>
      </w:pPr>
      <w:r>
        <w:t>Keywords</w:t>
      </w:r>
    </w:p>
    <w:p>
      <w:pPr>
        <w:pStyle w:val="ListBullet"/>
      </w:pPr>
      <w:r>
        <w:t>Tau / Proteinopathy Progression, Clarify Chronic Repetitive Tau / Clearance Mixed, DYRK1A, Tauopathy Progression, Cognitive Decline Phenotype, Microglial Chronic Activation, Chronic Repetitive Tau / Clearance Mixed</w:t>
      </w:r>
    </w:p>
    <w:p>
      <w:pPr>
        <w:pStyle w:val="Heading1"/>
      </w:pPr>
      <w:r>
        <w:t>Introduction</w:t>
      </w:r>
    </w:p>
    <w:p>
      <w:r>
        <w:t>A chronic repetitive tau/clearance endotype may separate better by AQP4 or DTI-ALPS plus tau variants than by inflammation markers alone. This draft is anchored to Tau / Proteinopathy Progression because that lane provides the current biological entry point into the manuscript path.</w:t>
      </w:r>
    </w:p>
    <w:p>
      <w:r>
        <w:t>The linked rationale in the Phase 8 pack is straightforward: p-tau or BD-tau together with AQP4 or DTI-ALPS-type clearance evidence. The directional bridge into Glymphatic failure -&gt; tau / protein accumulation gives the manuscript a mechanistic spine, while the linked Phase 3 and Phase 5 artifacts keep the story tied to downstream burden and cohort context rather than to generic TBI language.</w:t>
      </w:r>
    </w:p>
    <w:p>
      <w:pPr>
        <w:pStyle w:val="Heading1"/>
      </w:pPr>
      <w:r>
        <w:t>Review Scope and Evidence Assembly</w:t>
      </w:r>
    </w:p>
    <w:p>
      <w:r>
        <w:t>This manuscript is being packaged as a bounded evidence synthesis rather than as a new experimental report. The evidence base comes from the current Phase 1 to Phase 5 engine pack, linked PubMed-indexed source papers, explicit claim-to-PMID mapping, a contradiction register, and a bounded translational readout packet.</w:t>
      </w:r>
    </w:p>
    <w:p>
      <w:r>
        <w:t>The review logic is intentionally conservative: mechanistic and biomarker claims are carried forward only when they remain linked to the current evidence chain, and unresolved contradiction rows are retained in the manuscript as limitations or future-work boundaries rather than being smoothed away.</w:t>
      </w:r>
    </w:p>
    <w:p>
      <w:pPr>
        <w:pStyle w:val="Heading1"/>
      </w:pPr>
      <w:r>
        <w:t>Evidence Synthesis</w:t>
      </w:r>
    </w:p>
    <w:p>
      <w:pPr>
        <w:pStyle w:val="Heading2"/>
      </w:pPr>
      <w:r>
        <w:t>Candidate manuscript thesis</w:t>
      </w:r>
    </w:p>
    <w:p>
      <w:r>
        <w:t>A chronic repetitive tau/clearance endotype may separate better by AQP4 or DTI-ALPS plus tau variants than by inflammation markers alone. (PMIDs: 41508043, 41612558, 41627284, 41700070)</w:t>
      </w:r>
    </w:p>
    <w:p>
      <w:r>
        <w:t>Drafting rule: Use cautious, hypothesis-oriented wording and explicitly note boundedness.</w:t>
      </w:r>
    </w:p>
    <w:p>
      <w:r>
        <w:t>Current contradiction notes: Direct cohort-level ties between clearance readouts, tau variants, and longitudinal function are still sparse.</w:t>
      </w:r>
    </w:p>
    <w:p>
      <w:pPr>
        <w:pStyle w:val="Heading2"/>
      </w:pPr>
      <w:r>
        <w:t>Tau / Proteinopathy Progression</w:t>
      </w:r>
    </w:p>
    <w:p>
      <w:r>
        <w:t>Tau accumulation, neurofibrillary pathology, and proteinopathy-linked degeneration across the TBI timeline. (PMIDs: 41651695, 41508043, 41723222, 41665901)</w:t>
      </w:r>
    </w:p>
    <w:p>
      <w:r>
        <w:t>Drafting rule: Use cautious wording and avoid definitive causal or clinical claims.</w:t>
      </w:r>
    </w:p>
    <w:p>
      <w:r>
        <w:t>Current evidence gaps: Acute bucket is only provisionally supported. | Subacute bucket is only provisionally supported. | Chronic bucket is only provisionally supported.</w:t>
      </w:r>
    </w:p>
    <w:p>
      <w:pPr>
        <w:pStyle w:val="Heading2"/>
      </w:pPr>
      <w:r>
        <w:t>Glymphatic / Astroglial Clearance Failure</w:t>
      </w:r>
    </w:p>
    <w:p>
      <w:r>
        <w:t>AQP4 polarization, glymphatic flow, and astroglial clearance disruption across the TBI timeline. (PMIDs: 41179995, 41039850, 41648326, 41968392)</w:t>
      </w:r>
    </w:p>
    <w:p>
      <w:r>
        <w:t>Drafting rule: Use cautious wording and avoid definitive causal or clinical claims.</w:t>
      </w:r>
    </w:p>
    <w:p>
      <w:r>
        <w:t>Current evidence gaps: Acute bucket is only provisionally supported. | Subacute bucket is only provisionally supported. | Chronic bucket is only provisionally supported.</w:t>
      </w:r>
    </w:p>
    <w:p>
      <w:pPr>
        <w:pStyle w:val="Heading2"/>
      </w:pPr>
      <w:r>
        <w:t>Neuroinflammation / Microglial State Change</w:t>
      </w:r>
    </w:p>
    <w:p>
      <w:r>
        <w:t>Innate immune activation, cytokine signaling, and microglial state transitions following TBI. (PMIDs: 41157272, 41103638, 41926211, 41663365)</w:t>
      </w:r>
    </w:p>
    <w:p>
      <w:r>
        <w:t>Drafting rule: Use cautious wording and avoid definitive causal or clinical claims.</w:t>
      </w:r>
    </w:p>
    <w:p>
      <w:r>
        <w:t>Current evidence gaps: Acute bucket is only provisionally supported. | Subacute bucket is only provisionally supported. | Chronic bucket is only provisionally supported.</w:t>
      </w:r>
    </w:p>
    <w:p>
      <w:pPr>
        <w:pStyle w:val="Heading2"/>
      </w:pPr>
      <w:r>
        <w:t>Glymphatic failure -&gt; tau / protein accumulation</w:t>
      </w:r>
    </w:p>
    <w:p>
      <w:r>
        <w:t>Current TBI evidence supports a transition in which glymphatic failure contributes to tau or broader pathogenic protein accumulation. (PMIDs: 41179995, 41700070, 41747594)</w:t>
      </w:r>
    </w:p>
    <w:p>
      <w:r>
        <w:t>Drafting rule: Use affirmative language for the mechanism or pattern, while staying within the current artifact scope.</w:t>
      </w:r>
    </w:p>
    <w:p>
      <w:r>
        <w:t>Current evidence gaps: Some supporting rows are abstract-only and should be weighted cautiously. | Downstream lane is still seeded/provisional, so this transition should remain bounded. | Upstream lane still needs stronger longitudinal support.</w:t>
      </w:r>
    </w:p>
    <w:p>
      <w:pPr>
        <w:pStyle w:val="Heading2"/>
      </w:pPr>
      <w:r>
        <w:t>Neuroinflammation / microglial state change -&gt; tau / proteinopathy progression</w:t>
      </w:r>
    </w:p>
    <w:p>
      <w:r>
        <w:t>Current TBI evidence suggests that sustained neuroinflammation and microglial state change can amplify tau pathology and broader proteinopathy progression. (PMIDs: 41683989, 41809632)</w:t>
      </w:r>
    </w:p>
    <w:p>
      <w:r>
        <w:t>Drafting rule: Use cautious, hypothesis-oriented wording and explicitly note boundedness.</w:t>
      </w:r>
    </w:p>
    <w:p>
      <w:r>
        <w:t>Current evidence gaps: Transition still needs denser direct support before it should be treated as hardened. | Timing support is incomplete or only partially aligned with the expected transition window. | Downstream lane is still seeded/provisional, so this transition should remain bounded. | Upstream lane still needs stronger longitudinal support.</w:t>
      </w:r>
    </w:p>
    <w:p>
      <w:pPr>
        <w:pStyle w:val="Heading2"/>
      </w:pPr>
      <w:r>
        <w:t>Tau / proteinopathy progression -&gt; chronic network dysfunction</w:t>
      </w:r>
    </w:p>
    <w:p>
      <w:r>
        <w:t>Current TBI evidence suggests that tau and related proteinopathy progression contribute to chronic network dysfunction and cognitive decline. (PMIDs: 41496386, 41739474, 41747594, 41508043)</w:t>
      </w:r>
    </w:p>
    <w:p>
      <w:r>
        <w:t>Drafting rule: Use cautious, hypothesis-oriented wording and explicitly note boundedness.</w:t>
      </w:r>
    </w:p>
    <w:p>
      <w:r>
        <w:t>Current evidence gaps: Transition still needs denser direct support before it should be treated as hardened. | Some supporting rows are abstract-only and should be weighted cautiously. | Downstream lane is still seeded/provisional, so this transition should remain bounded. | Upstream lane still needs stronger longitudinal support.</w:t>
      </w:r>
    </w:p>
    <w:p>
      <w:pPr>
        <w:pStyle w:val="Heading2"/>
      </w:pPr>
      <w:r>
        <w:t>Tauopathy Progression</w:t>
      </w:r>
    </w:p>
    <w:p>
      <w:r>
        <w:t>Tauopathy progression is one of the clearest bridges from repeated injury biology into chronic neurodegenerative trajectory risk. (PMIDs: 41179995, 41328339, 41496386, 41594797)</w:t>
      </w:r>
    </w:p>
    <w:p>
      <w:r>
        <w:t>Drafting rule: Use affirmative language for the mechanism or pattern, while staying within the current artifact scope.</w:t>
      </w:r>
    </w:p>
    <w:p>
      <w:r>
        <w:t>Current evidence gaps: Some supporting rows are abstract-only and should be weighted cautiously.</w:t>
      </w:r>
    </w:p>
    <w:p>
      <w:pPr>
        <w:pStyle w:val="Heading2"/>
      </w:pPr>
      <w:r>
        <w:t>Cognitive Decline Phenotype</w:t>
      </w:r>
    </w:p>
    <w:p>
      <w:r>
        <w:t>Cognitive decline is the downstream phenotype that makes the rest of the process engine clinically meaningful rather than merely mechanistic. (PMIDs: 41132417, 41157272, 41234125, 41300163)</w:t>
      </w:r>
    </w:p>
    <w:p>
      <w:r>
        <w:t>Drafting rule: Use cautious, hypothesis-oriented wording and explicitly note boundedness.</w:t>
      </w:r>
    </w:p>
    <w:p>
      <w:r>
        <w:t>Current contradiction notes: After adjusting for pre-injury baseline differences, mTBI did not decrease neurocognitive outcomes compared to controls within a year post-injury.</w:t>
      </w:r>
    </w:p>
    <w:p>
      <w:r>
        <w:t>Current evidence gaps: Object still needs denser direct support before it should be treated as hardened. | Some supporting rows are abstract-only and should be weighted cautiously. | Contradiction-bearing evidence is present and needs adjudication before stronger promotion.</w:t>
      </w:r>
    </w:p>
    <w:p>
      <w:pPr>
        <w:pStyle w:val="Heading2"/>
      </w:pPr>
      <w:r>
        <w:t>Microglial Chronic Activation</w:t>
      </w:r>
    </w:p>
    <w:p>
      <w:r>
        <w:t>Chronic microglial activation is a plausible sustaining object that keeps acute injury biology alive long enough to drive later degeneration. (PMIDs: 41039850, 41103638, 41135688, 41157272)</w:t>
      </w:r>
    </w:p>
    <w:p>
      <w:r>
        <w:t>Drafting rule: Use affirmative language for the mechanism or pattern, while staying within the current artifact scope.</w:t>
      </w:r>
    </w:p>
    <w:p>
      <w:r>
        <w:t>Current evidence gaps: Some supporting rows are abstract-only and should be weighted cautiously.</w:t>
      </w:r>
    </w:p>
    <w:p>
      <w:pPr>
        <w:pStyle w:val="Heading2"/>
      </w:pPr>
      <w:r>
        <w:t>Tau / Proteinopathy Progression</w:t>
      </w:r>
    </w:p>
    <w:p>
      <w:r>
        <w:t>Use the direct DYRK1A perturbation anchor, but keep tau claims bounded until the lane itself is less seeded. (PMIDs: 41651695, 41508043, 41665901, 41496386)</w:t>
      </w:r>
    </w:p>
    <w:p>
      <w:r>
        <w:t>Drafting rule: Use supported mechanistic language, but keep translational claims bounded and non-clinical.</w:t>
      </w:r>
    </w:p>
    <w:p>
      <w:r>
        <w:t>Current contradiction notes: After adjusting for pre-injury baseline differences, mTBI did not decrease neurocognitive outcomes compared to controls within a year post-injury. | Circulating tau can fall without matching tissue or functional improvement, and a single chronic model context is not enough to treat the lane as fully hardened.</w:t>
      </w:r>
    </w:p>
    <w:p>
      <w:pPr>
        <w:pStyle w:val="Heading2"/>
      </w:pPr>
      <w:r>
        <w:t>Glymphatic / Astroglial Clearance Failure</w:t>
      </w:r>
    </w:p>
    <w:p>
      <w:r>
        <w:t>Focus on the AQP4 clearance module and require a real clearance readout, not just astroglial stress markers. (PMIDs: 41179995, 41039850, 41648326, 41700070)</w:t>
      </w:r>
    </w:p>
    <w:p>
      <w:r>
        <w:t>Drafting rule: Use supported mechanistic language, but keep translational claims bounded and non-clinical.</w:t>
      </w:r>
    </w:p>
    <w:p>
      <w:r>
        <w:t>Current contradiction notes: AQP4 abundance can rise while polarization remains abnormal, and glial-stress markers can shift without any real movement in clearance readouts or tau burden. | no direct compound or trial attachment surfaced in this build</w:t>
      </w:r>
    </w:p>
    <w:p>
      <w:pPr>
        <w:pStyle w:val="Heading2"/>
      </w:pPr>
      <w:r>
        <w:t>Neuroinflammation / Microglial State Change</w:t>
      </w:r>
    </w:p>
    <w:p>
      <w:r>
        <w:t>Blunt the inflammasome and cytokine network without pretending one marker equals the whole inflammatory state. (PMIDs: 41157272, 41103638, 41663365, 41734021)</w:t>
      </w:r>
    </w:p>
    <w:p>
      <w:r>
        <w:t>Drafting rule: Use supported mechanistic language, but keep translational claims bounded and non-clinical.</w:t>
      </w:r>
    </w:p>
    <w:p>
      <w:r>
        <w:t>Current contradiction notes: Study found no significant correlation, contradicting the hypothesis of cumulative damage. | Single-cytokine changes can overstate inflammatory control | keep this packet tied to a network-level cytokine plus glial-stress readout panel. | no direct compound or trial attachment surfaced in this build</w:t>
      </w:r>
    </w:p>
    <w:p>
      <w:pPr>
        <w:pStyle w:val="Heading2"/>
      </w:pPr>
      <w:r>
        <w:t>Chronic Repetitive Tau / Clearance Mixed</w:t>
      </w:r>
    </w:p>
    <w:p>
      <w:r>
        <w:t>This is the strongest current packet for testing whether repetitive-impact cohorts need a clearance-first or tau-first translational logic instead of a generic inflammatory one. (PMIDs: 41508043, 41612558, 41627284, 41700070)</w:t>
      </w:r>
    </w:p>
    <w:p>
      <w:r>
        <w:t>Drafting rule: Use cohort-language as suggestive context only, not as a locked endotype claim.</w:t>
      </w:r>
    </w:p>
    <w:p>
      <w:r>
        <w:t>Current contradiction notes: Tau and clearance signals can co-occur without proving directionality, and repetitive cohorts can still carry unresolved inflammatory pressure.</w:t>
      </w:r>
    </w:p>
    <w:p>
      <w:r>
        <w:t>Current evidence gaps: Direct cohort-level ties between clearance readouts, tau variants, and longitudinal function are still sparse.</w:t>
      </w:r>
    </w:p>
    <w:p>
      <w:pPr>
        <w:pStyle w:val="Heading1"/>
      </w:pPr>
      <w:r>
        <w:t>Discussion</w:t>
      </w:r>
    </w:p>
    <w:p>
      <w:r>
        <w:t>This manuscript is currently targeted to Journal of Neurotrauma as a review because the current evidence pack already carries a named thesis, a linked Phase 1 to Phase 5 chain, and a draft readout spine built around not specified.</w:t>
      </w:r>
    </w:p>
    <w:p>
      <w:r>
        <w:t>The draft should still remain bounded. Translation maturity is bounded, the next experimental move is Do chronic repetitive cohorts separate more cleanly by clearance failure plus tau than by inflammatory burden alone?, and the current top blocker is Downstream lane is still seeded/provisional, so this transition should remain bounded.. These constraints should remain explicit rather than being smoothed away during prose cleanup.</w:t>
      </w:r>
    </w:p>
    <w:p>
      <w:r>
        <w:t>The cohort and endotype context currently in scope is Chronic Repetitive Tau / Clearance Mixed. Use that context to keep the narrative specific about where the manuscript path appears strongest and where it remains only provisional.</w:t>
      </w:r>
    </w:p>
    <w:p>
      <w:pPr>
        <w:pStyle w:val="Heading1"/>
      </w:pPr>
      <w:r>
        <w:t>Limitations</w:t>
      </w:r>
    </w:p>
    <w:p>
      <w:pPr>
        <w:pStyle w:val="ListBullet"/>
      </w:pPr>
      <w:r>
        <w:t>Direct cohort-level ties between clearance readouts, tau variants, and longitudinal function are still sparse.</w:t>
      </w:r>
    </w:p>
    <w:p>
      <w:pPr>
        <w:pStyle w:val="ListBullet"/>
      </w:pPr>
      <w:r>
        <w:t>Acute bucket is only provisionally supported.</w:t>
      </w:r>
    </w:p>
    <w:p>
      <w:pPr>
        <w:pStyle w:val="ListBullet"/>
      </w:pPr>
      <w:r>
        <w:t>Subacute bucket is only provisionally supported.</w:t>
      </w:r>
    </w:p>
    <w:p>
      <w:pPr>
        <w:pStyle w:val="ListBullet"/>
      </w:pPr>
      <w:r>
        <w:t>Chronic bucket is only provisionally supported.</w:t>
      </w:r>
    </w:p>
    <w:p>
      <w:pPr>
        <w:pStyle w:val="ListBullet"/>
      </w:pPr>
      <w:r>
        <w:t>No single canonical atlas mechanism anchors this lane yet</w:t>
      </w:r>
    </w:p>
    <w:p>
      <w:pPr>
        <w:pStyle w:val="ListBullet"/>
      </w:pPr>
      <w:r>
        <w:t>it is currently seeded from cross-mechanism evidence and conservative keyword matching.</w:t>
      </w:r>
    </w:p>
    <w:p>
      <w:pPr>
        <w:pStyle w:val="ListBullet"/>
      </w:pPr>
      <w:r>
        <w:t>Treat this lane as a seeded trajectory lane until stronger canonical support or explicit normalization is added.</w:t>
      </w:r>
    </w:p>
    <w:p>
      <w:pPr>
        <w:pStyle w:val="ListBullet"/>
      </w:pPr>
      <w:r>
        <w:t>Promoted from existing atlas mechanism coverage: glymphatic clearance impairment.</w:t>
      </w:r>
    </w:p>
    <w:p>
      <w:pPr>
        <w:pStyle w:val="ListBullet"/>
      </w:pPr>
      <w:r>
        <w:t>Promoted from existing atlas mechanism coverage: neuroinflammation microglial activation.</w:t>
      </w:r>
    </w:p>
    <w:p>
      <w:pPr>
        <w:pStyle w:val="ListBullet"/>
      </w:pPr>
      <w:r>
        <w:t>Some supporting rows are abstract-only and should be weighted cautiously.</w:t>
      </w:r>
    </w:p>
    <w:p>
      <w:pPr>
        <w:pStyle w:val="Heading1"/>
      </w:pPr>
      <w:r>
        <w:t>Transparency, Rigor and Reproducibility Summary Starter</w:t>
      </w:r>
    </w:p>
    <w:p>
      <w:pPr>
        <w:pStyle w:val="ListBullet"/>
      </w:pPr>
      <w:r>
        <w:t>No open journal-specific rigor fill packet entries are currently attached to this pack.</w:t>
      </w:r>
    </w:p>
    <w:p>
      <w:pPr>
        <w:pStyle w:val="Heading1"/>
      </w:pPr>
      <w:r>
        <w:t>Statements and Declarations</w:t>
      </w:r>
    </w:p>
    <w:p>
      <w:pPr>
        <w:pStyle w:val="Heading2"/>
      </w:pPr>
      <w:r>
        <w:t>Funding</w:t>
      </w:r>
    </w:p>
    <w:p>
      <w:r>
        <w:t>[Needed]</w:t>
      </w:r>
    </w:p>
    <w:p>
      <w:pPr>
        <w:pStyle w:val="Heading2"/>
      </w:pPr>
      <w:r>
        <w:t>Conflict of Interest</w:t>
      </w:r>
    </w:p>
    <w:p>
      <w:r>
        <w:t>[Needed]</w:t>
      </w:r>
    </w:p>
    <w:p>
      <w:pPr>
        <w:pStyle w:val="Heading2"/>
      </w:pPr>
      <w:r>
        <w:t>Author Contributions</w:t>
      </w:r>
    </w:p>
    <w:p>
      <w:r>
        <w:t>[Needed]</w:t>
      </w:r>
    </w:p>
    <w:p>
      <w:pPr>
        <w:pStyle w:val="Heading2"/>
      </w:pPr>
      <w:r>
        <w:t>Data Availability</w:t>
      </w:r>
    </w:p>
    <w:p>
      <w:r>
        <w:t>[Needed]</w:t>
      </w:r>
    </w:p>
    <w:p>
      <w:pPr>
        <w:pStyle w:val="Heading2"/>
      </w:pPr>
      <w:r>
        <w:t>Ethics / Approvals</w:t>
      </w:r>
    </w:p>
    <w:p>
      <w:r>
        <w:t>[Needed]</w:t>
      </w:r>
    </w:p>
    <w:p>
      <w:pPr>
        <w:pStyle w:val="Heading1"/>
      </w:pPr>
      <w:r>
        <w:t>Figure and Table Plan</w:t>
      </w:r>
    </w:p>
    <w:p>
      <w:pPr>
        <w:pStyle w:val="ListBullet"/>
      </w:pPr>
      <w:r>
        <w:rPr>
          <w:b/>
        </w:rPr>
        <w:t>Phase 1 to Phase 5 evidence chain for the manuscript path:</w:t>
      </w:r>
      <w:r>
        <w:t>Show how the selected manuscript path moves from lane anchor to causal bridge to progression burden to translational packet to endotype context.</w:t>
      </w:r>
    </w:p>
    <w:p>
      <w:pPr>
        <w:pStyle w:val="ListBullet"/>
      </w:pPr>
      <w:r>
        <w:rPr>
          <w:b/>
        </w:rPr>
        <w:t>Biomarker and readout panel for the lead translational packet:</w:t>
      </w:r>
      <w:r>
        <w:t>Show the candidate biomarker panel, expected readouts, time windows, and sample types.</w:t>
      </w:r>
    </w:p>
    <w:p>
      <w:pPr>
        <w:pStyle w:val="ListBullet"/>
      </w:pPr>
      <w:r>
        <w:rPr>
          <w:b/>
        </w:rPr>
        <w:t>Downstream burden and endotype context:</w:t>
      </w:r>
      <w:r>
        <w:t>Show the progression objects (Tauopathy Progression, Cognitive Decline Phenotype, Microglial Chronic Activation) and the linked endotypes (Chronic Repetitive Tau / Clearance Mixed).</w:t>
      </w:r>
    </w:p>
    <w:p>
      <w:pPr>
        <w:pStyle w:val="ListBullet"/>
      </w:pPr>
      <w:r>
        <w:rPr>
          <w:b/>
        </w:rPr>
        <w:t>Evidence boundaries and contradiction map:</w:t>
      </w:r>
      <w:r>
        <w:t>Show the main contradictions, evidence gaps, and source-quality boundaries that still limit the paper.</w:t>
      </w:r>
    </w:p>
    <w:p>
      <w:pPr>
        <w:pStyle w:val="Heading1"/>
      </w:pPr>
      <w:r>
        <w:t>Missing Metadata and Packaging Items</w:t>
      </w:r>
    </w:p>
    <w:p>
      <w:pPr>
        <w:pStyle w:val="ListBullet"/>
      </w:pPr>
      <w:r>
        <w:t>Operator metadata items still needed: 12</w:t>
      </w:r>
    </w:p>
    <w:p>
      <w:pPr>
        <w:pStyle w:val="ListBullet"/>
      </w:pPr>
      <w:r>
        <w:t>Content or rigor gaps still open: 0</w:t>
      </w:r>
    </w:p>
    <w:p>
      <w:pPr>
        <w:pStyle w:val="ListBullet"/>
      </w:pPr>
      <w:r>
        <w:t>See</w:t>
      </w:r>
      <w:r>
        <w:rPr>
          <w:rFonts w:ascii="Courier New" w:hAnsi="Courier New"/>
        </w:rPr>
        <w:t>missingmetadataanditems.md</w:t>
      </w:r>
      <w:r>
        <w:t>for the detailed working list.</w:t>
      </w:r>
    </w:p>
    <w:p>
      <w:pPr>
        <w:pStyle w:val="Heading1"/>
      </w:pPr>
      <w:r>
        <w:t>References</w:t>
      </w:r>
    </w:p>
    <w:p>
      <w:r>
        <w:t>1. Repetitive mild traumatic brain injury with the closed-head impact model of engineered rotational acceleration (CHIMERA) promotes tau pathology in tau transgenic mice and its propagation in brains injected with tau fibrils. PMID:41508043.</w:t>
      </w:r>
    </w:p>
    <w:p>
      <w:r>
        <w:t>2. Alterations in CSF Amyloid-β and Tau Biomarkers in Former College and Professional American Football Players: Findings from the DIAGNOSE CTE Research Project. PMID:41612558.</w:t>
      </w:r>
    </w:p>
    <w:p>
      <w:r>
        <w:t>3. Clinicopathological study of chronic traumatic encephalopathy pathology in a population-based cohort. PMID:41627284.</w:t>
      </w:r>
    </w:p>
    <w:p>
      <w:r>
        <w:t>4. MRI-Based Insights into the Connection Between Traumatic Brain Injury, Glymphatic Dysfunction, and Neurodegenerative Disease. PMID:41700070.</w:t>
      </w:r>
    </w:p>
    <w:p>
      <w:r>
        <w:t>5. Glymphatic system and mild traumatic brain injury: a mini review. PMID:41179995.</w:t>
      </w:r>
    </w:p>
    <w:p>
      <w:r>
        <w:t>6. A Drug Delivery to Improve Prognosis of Traumatic Brain Injury Mice Through Mouse-Derived Nerve Growth Factor Coated by a Nanoparticle. PMID:41039850.</w:t>
      </w:r>
    </w:p>
    <w:p>
      <w:r>
        <w:t>7. Alterations in white matter microstructure and glymphatic function in post-traumatic disorders of consciousness: impact on consciousness levels and prognosis. PMID:41342721.</w:t>
      </w:r>
    </w:p>
    <w:p>
      <w:r>
        <w:t>8. Are enlarged perivascular spaces a predictor of early post-traumatic seizures after traumatic brain injury?- A pilot study. PMID:41707558.</w:t>
      </w:r>
    </w:p>
    <w:p>
      <w:r>
        <w:t>9. PMID:41651695.</w:t>
      </w:r>
    </w:p>
    <w:p>
      <w:r>
        <w:t>10. PMID:41723222.</w:t>
      </w:r>
    </w:p>
    <w:p>
      <w:r>
        <w:t>11. PMID:41665901.</w:t>
      </w:r>
    </w:p>
    <w:p>
      <w:r>
        <w:t>12. PMID:41853047.</w:t>
      </w:r>
    </w:p>
    <w:p>
      <w:r>
        <w:t>13. PMID:41496386.</w:t>
      </w:r>
    </w:p>
    <w:p>
      <w:r>
        <w:t>14. PMID:41683989.</w:t>
      </w:r>
    </w:p>
    <w:p>
      <w:r>
        <w:t>15. PMID:41809435.</w:t>
      </w:r>
    </w:p>
    <w:p>
      <w:r>
        <w:t>16. PMID:41953056.</w:t>
      </w:r>
    </w:p>
    <w:p>
      <w:r>
        <w:t>17. PMID:41648326.</w:t>
      </w:r>
    </w:p>
    <w:p>
      <w:r>
        <w:t>18. PMID:41968392.</w:t>
      </w:r>
    </w:p>
    <w:p>
      <w:r>
        <w:t>19. PMID:41960329.</w:t>
      </w:r>
    </w:p>
    <w:p>
      <w:r>
        <w:t>20. Esketamine Suppresses Astrocyte-Driven Neuroinflammation in Traumatic Brain Injury via the METTL5/c-Myc/PD-L1. doi:10.1007/s11064-026-04724-8. PMID:41824127.</w:t>
      </w:r>
    </w:p>
    <w:p>
      <w:r>
        <w:t>21. PMID:41153827.</w:t>
      </w:r>
    </w:p>
    <w:p>
      <w:r>
        <w:t>22. β-hydroxybutyrate Modulates Neuroinflammatory Responses and Astrocyte Reactivity in an In Vitro Model of Traumatic Brain Injury. doi:10.1007/s12035-026-05759-2. PMID:41795770.</w:t>
      </w:r>
    </w:p>
    <w:p>
      <w:r>
        <w:t>23. PMID:41827388.</w:t>
      </w:r>
    </w:p>
    <w:p>
      <w:r>
        <w:t>24. PMID:41157272.</w:t>
      </w:r>
    </w:p>
    <w:p>
      <w:r>
        <w:t>25. PMID:41103638.</w:t>
      </w:r>
    </w:p>
    <w:p>
      <w:r>
        <w:t>26. PMID:41926211.</w:t>
      </w:r>
    </w:p>
    <w:p>
      <w:r>
        <w:t>27. PMID:41663365.</w:t>
      </w:r>
    </w:p>
    <w:p>
      <w:r>
        <w:t>28. Inflammasome adaptor ASC promotes sustained neuroinflammation and mild cognitive impairment in a closed-head injury model. doi:10.1172/JCI199818. PMID:41734021.</w:t>
      </w:r>
    </w:p>
    <w:p>
      <w:r>
        <w:t>29. PMID:41752185.</w:t>
      </w:r>
    </w:p>
    <w:p>
      <w:r>
        <w:t>30. PMID:41756234.</w:t>
      </w:r>
    </w:p>
    <w:p>
      <w:r>
        <w:t>31. PMID:41756282.</w:t>
      </w:r>
    </w:p>
    <w:p>
      <w:r>
        <w:t>32. PMID:41926540.</w:t>
      </w:r>
    </w:p>
    <w:p>
      <w:r>
        <w:t>33. Effect of intranasal treatment with NAMPT-EVs on acetylated tau and cognitive function in mice with repeated controlled cortical injury. doi:10.1016/j.intimp.2026.116415. PMID:41747594.</w:t>
      </w:r>
    </w:p>
    <w:p>
      <w:r>
        <w:t>34. Mesenchymal stem cells and the central nervous system: historical perspectives and future directions. doi:10.3389/fnmol.2026.1742864. PMID:41809632.</w:t>
      </w:r>
    </w:p>
    <w:p>
      <w:r>
        <w:t>35. PMID:41739474.</w:t>
      </w:r>
    </w:p>
    <w:p>
      <w:r>
        <w:t>36. PMID:41328339.</w:t>
      </w:r>
    </w:p>
    <w:p>
      <w:r>
        <w:t>37. PMID:41594797.</w:t>
      </w:r>
    </w:p>
    <w:p>
      <w:r>
        <w:t>38. PMID:41132417.</w:t>
      </w:r>
    </w:p>
    <w:p>
      <w:r>
        <w:t>39. PMID:41234125.</w:t>
      </w:r>
    </w:p>
    <w:p>
      <w:r>
        <w:t>40. PMID:41300163.</w:t>
      </w:r>
    </w:p>
    <w:p>
      <w:r>
        <w:t>41. PMID:41513584.</w:t>
      </w:r>
    </w:p>
    <w:p>
      <w:r>
        <w:t>42. PMID:41564671.</w:t>
      </w:r>
    </w:p>
    <w:p>
      <w:r>
        <w:t>43. PMID:41669533.</w:t>
      </w:r>
    </w:p>
    <w:p>
      <w:r>
        <w:t>44. PMID:41709584.</w:t>
      </w:r>
    </w:p>
    <w:p>
      <w:r>
        <w:t>45. PMID:41135688.</w:t>
      </w:r>
    </w:p>
    <w:p>
      <w:r>
        <w:t>46. PMID:41173520.</w:t>
      </w:r>
    </w:p>
    <w:p>
      <w:r>
        <w:t>47. PMID:41197779.</w:t>
      </w:r>
    </w:p>
    <w:p>
      <w:r>
        <w:t>48. PMID:41327381.</w:t>
      </w:r>
    </w:p>
    <w:p>
      <w:r>
        <w:t>49. PMID:41446731.</w:t>
      </w:r>
    </w:p>
    <w:p>
      <w:r>
        <w:t>50. PMID:41394307.</w:t>
      </w:r>
    </w:p>
    <w:p>
      <w:r>
        <w:t>51. PMID:41618372.</w:t>
      </w:r>
    </w:p>
    <w:p>
      <w:r>
        <w:t>52. PMID:41622461.</w:t>
      </w:r>
    </w:p>
    <w:p>
      <w:r>
        <w:t>53. PMID:41667502.</w:t>
      </w:r>
    </w:p>
    <w:p>
      <w:r>
        <w:t>54. PMID:41675841.</w:t>
      </w:r>
    </w:p>
    <w:p>
      <w:r>
        <w:t>55. PMID:41700019.</w:t>
      </w:r>
    </w:p>
    <w:p>
      <w:r>
        <w:t>56. PMID:41785317.</w:t>
      </w:r>
    </w:p>
    <w:p>
      <w:r>
        <w:t>57. Neuronal and glial networks interact with traumatic brain injury to modulate cognition in ABCD study. doi:10.1038/s41540-026-00681-8. PMID:41826372.</w:t>
      </w:r>
    </w:p>
    <w:p>
      <w:r>
        <w:t>58. PMID:41642456.</w:t>
      </w:r>
    </w:p>
    <w:p>
      <w:r>
        <w:t>59. PMID:41301762.</w:t>
      </w:r>
    </w:p>
    <w:p>
      <w:r>
        <w:t>60. Glymphatic System Dysfunction in Central Nervous System Diseases. doi:10.1002/cns.70810. PMID:41792880.</w:t>
      </w:r>
    </w:p>
    <w:p>
      <w:r>
        <w:t>61. Elucidating Trigonelline's Therapeutic Mechanisms for Traumatic Brain Injury Through Integrated Network Pharmacology and In Vivo Validation. doi:10.1002/cns.70803. PMID:41801080.</w:t>
      </w:r>
    </w:p>
    <w:p>
      <w:r>
        <w:t>62. PMID:41079361.</w:t>
      </w:r>
    </w:p>
    <w:p>
      <w:r>
        <w:t>63. PMID:41177833.</w:t>
      </w:r>
    </w:p>
    <w:p>
      <w:r>
        <w:t>64. PMID:41183617.</w:t>
      </w:r>
    </w:p>
    <w:p>
      <w:r>
        <w:t>65. PMID:41267966.</w:t>
      </w:r>
    </w:p>
    <w:p>
      <w:r>
        <w:t>66. PMID:41612383.</w:t>
      </w:r>
    </w:p>
    <w:p>
      <w:r>
        <w:t>67. PRMT6 is required for initiating and amplifying macrophage-induced inflammation in heterotopic ossification by increasing CCL2 expression. doi:10.1038/s41413-026-00512-w. PMID:41803087.</w:t>
      </w:r>
    </w:p>
    <w:p>
      <w:r>
        <w:t>68. PMID:41511466.</w:t>
      </w:r>
    </w:p>
    <w:p>
      <w:r>
        <w:t>69. PMID:41480492.</w:t>
      </w:r>
    </w:p>
    <w:p>
      <w:r>
        <w:t>70. PMID:41709060.</w:t>
      </w:r>
    </w:p>
    <w:p>
      <w:r>
        <w:t>71. PMID:41712436.</w:t>
      </w:r>
    </w:p>
    <w:p>
      <w:r>
        <w:t>72. PMID:41726892.</w:t>
      </w:r>
    </w:p>
    <w:p>
      <w:r>
        <w:t>73. PMID:41737534.</w:t>
      </w:r>
    </w:p>
    <w:p>
      <w:r>
        <w:t>74. PMID:41769894.</w:t>
      </w:r>
    </w:p>
    <w:p>
      <w:r>
        <w:t>75. Noble gases xenon and argon: from cellular signalling mechanisms to organoprotection and clinical applications. doi:10.1186/s12967-026-07944-2. PMID:41803953.</w:t>
      </w:r>
    </w:p>
    <w:p>
      <w:r>
        <w:t>76. PMID:41622481.</w:t>
      </w:r>
    </w:p>
    <w:p>
      <w:r>
        <w:t>77. PMID:41659975.</w:t>
      </w:r>
    </w:p>
    <w:p>
      <w:r>
        <w:t>78. PMID:41740873.</w:t>
      </w:r>
    </w:p>
    <w:p>
      <w:r>
        <w:t>79. PMID:41069428.</w:t>
      </w:r>
    </w:p>
    <w:p>
      <w:r>
        <w:t>80. PMID:41110648.</w:t>
      </w:r>
    </w:p>
    <w:p>
      <w:r>
        <w:t>81. PMID:41129987.</w:t>
      </w:r>
    </w:p>
    <w:p>
      <w:r>
        <w:t>82. PMID:41157305.</w:t>
      </w:r>
    </w:p>
    <w:p>
      <w:r>
        <w:t>83. PMID:41175081.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